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A162" w14:textId="7FA9E48A" w:rsidR="00254A22" w:rsidRPr="00700CF5" w:rsidRDefault="00700CF5" w:rsidP="00700CF5">
      <w:pPr>
        <w:spacing w:line="240" w:lineRule="auto"/>
        <w:contextualSpacing/>
        <w:rPr>
          <w:rFonts w:ascii="Arial" w:hAnsi="Arial" w:cs="Arial"/>
          <w:b/>
          <w:bCs/>
          <w:color w:val="4C94D8" w:themeColor="text2" w:themeTint="80"/>
        </w:rPr>
      </w:pPr>
      <w:r w:rsidRPr="00700CF5">
        <w:rPr>
          <w:rFonts w:ascii="Arial" w:hAnsi="Arial" w:cs="Arial"/>
          <w:b/>
          <w:bCs/>
          <w:color w:val="4C94D8" w:themeColor="text2" w:themeTint="80"/>
        </w:rPr>
        <w:t>Executive Summary</w:t>
      </w:r>
    </w:p>
    <w:p w14:paraId="3C82E7BF" w14:textId="77777777" w:rsidR="00700CF5" w:rsidRDefault="00700CF5" w:rsidP="00700CF5">
      <w:pPr>
        <w:spacing w:line="240" w:lineRule="auto"/>
        <w:contextualSpacing/>
        <w:rPr>
          <w:rFonts w:ascii="Arial" w:hAnsi="Arial" w:cs="Arial"/>
        </w:rPr>
      </w:pPr>
    </w:p>
    <w:p w14:paraId="26DCD6C2" w14:textId="63484EF9" w:rsidR="00137ACB" w:rsidRPr="00137ACB" w:rsidRDefault="00700CF5" w:rsidP="00137ACB">
      <w:pPr>
        <w:spacing w:line="240" w:lineRule="auto"/>
        <w:contextualSpacing/>
        <w:rPr>
          <w:rFonts w:ascii="Arial" w:hAnsi="Arial" w:cs="Arial"/>
          <w:sz w:val="22"/>
          <w:szCs w:val="22"/>
        </w:rPr>
      </w:pPr>
      <w:r w:rsidRPr="00700CF5">
        <w:rPr>
          <w:rFonts w:ascii="Arial" w:hAnsi="Arial" w:cs="Arial"/>
          <w:sz w:val="22"/>
          <w:szCs w:val="22"/>
        </w:rPr>
        <w:t xml:space="preserve">Effective in 2 </w:t>
      </w:r>
      <w:r>
        <w:rPr>
          <w:rFonts w:ascii="Arial" w:hAnsi="Arial" w:cs="Arial"/>
          <w:sz w:val="22"/>
          <w:szCs w:val="22"/>
        </w:rPr>
        <w:t xml:space="preserve">phases </w:t>
      </w:r>
      <w:r w:rsidRPr="00700CF5">
        <w:rPr>
          <w:rFonts w:ascii="Arial" w:hAnsi="Arial" w:cs="Arial"/>
          <w:sz w:val="22"/>
          <w:szCs w:val="22"/>
        </w:rPr>
        <w:t>during 2026</w:t>
      </w:r>
      <w:r>
        <w:rPr>
          <w:rFonts w:ascii="Arial" w:hAnsi="Arial" w:cs="Arial"/>
          <w:sz w:val="22"/>
          <w:szCs w:val="22"/>
        </w:rPr>
        <w:t>, Nacha shall be implementing the following rule changes:</w:t>
      </w:r>
    </w:p>
    <w:p w14:paraId="6656BE48" w14:textId="77777777" w:rsidR="00137ACB" w:rsidRDefault="00137ACB" w:rsidP="00700CF5">
      <w:pPr>
        <w:spacing w:line="240" w:lineRule="auto"/>
        <w:contextualSpacing/>
        <w:rPr>
          <w:rFonts w:ascii="Arial" w:hAnsi="Arial" w:cs="Arial"/>
          <w:sz w:val="22"/>
          <w:szCs w:val="22"/>
        </w:rPr>
      </w:pPr>
    </w:p>
    <w:p w14:paraId="3AA959BC" w14:textId="6EEF113B" w:rsidR="00700CF5" w:rsidRPr="00AE6958" w:rsidRDefault="00700CF5" w:rsidP="00700CF5">
      <w:pPr>
        <w:spacing w:line="240" w:lineRule="auto"/>
        <w:contextualSpacing/>
        <w:rPr>
          <w:rFonts w:ascii="Arial" w:hAnsi="Arial" w:cs="Arial"/>
          <w:b/>
          <w:bCs/>
          <w:sz w:val="18"/>
          <w:szCs w:val="18"/>
        </w:rPr>
      </w:pPr>
      <w:r w:rsidRPr="00AE6958">
        <w:rPr>
          <w:rFonts w:ascii="Arial" w:hAnsi="Arial" w:cs="Arial"/>
          <w:b/>
          <w:bCs/>
          <w:sz w:val="18"/>
          <w:szCs w:val="18"/>
        </w:rPr>
        <w:t>Subsection 2.2.4 Identification of Unauthorized Entries or Entries Authorized Under False Pretenses</w:t>
      </w:r>
    </w:p>
    <w:p w14:paraId="3DEC0826" w14:textId="7BF14BFE" w:rsidR="00137ACB" w:rsidRPr="00FA4033" w:rsidRDefault="00137ACB" w:rsidP="00700CF5">
      <w:pPr>
        <w:spacing w:line="240" w:lineRule="auto"/>
        <w:contextualSpacing/>
        <w:rPr>
          <w:rFonts w:ascii="Arial" w:hAnsi="Arial" w:cs="Arial"/>
          <w:i/>
          <w:iCs/>
          <w:sz w:val="18"/>
          <w:szCs w:val="18"/>
        </w:rPr>
      </w:pPr>
      <w:r w:rsidRPr="00FA4033">
        <w:rPr>
          <w:rFonts w:ascii="Arial" w:hAnsi="Arial" w:cs="Arial"/>
          <w:i/>
          <w:iCs/>
          <w:sz w:val="18"/>
          <w:szCs w:val="18"/>
        </w:rPr>
        <w:t>Each non-consumer Originator; each Third-Party Sender (TPS), each Originating Depositary Financial Institution (ODFI); and each Third-Party Service Provider (TPSP) that performs functions on behalf of an Originator, TPS, or ODFI must:</w:t>
      </w:r>
    </w:p>
    <w:p w14:paraId="7B7A0615" w14:textId="3AA24D97" w:rsidR="00137ACB" w:rsidRPr="00FA4033" w:rsidRDefault="00137ACB" w:rsidP="00137ACB">
      <w:pPr>
        <w:pStyle w:val="ListParagraph"/>
        <w:numPr>
          <w:ilvl w:val="0"/>
          <w:numId w:val="1"/>
        </w:numPr>
        <w:spacing w:line="240" w:lineRule="auto"/>
        <w:rPr>
          <w:rFonts w:ascii="Arial" w:hAnsi="Arial" w:cs="Arial"/>
          <w:i/>
          <w:iCs/>
          <w:sz w:val="18"/>
          <w:szCs w:val="18"/>
        </w:rPr>
      </w:pPr>
      <w:r w:rsidRPr="00FA4033">
        <w:rPr>
          <w:rFonts w:ascii="Arial" w:hAnsi="Arial" w:cs="Arial"/>
          <w:i/>
          <w:iCs/>
          <w:sz w:val="18"/>
          <w:szCs w:val="18"/>
        </w:rPr>
        <w:t>Establish and implement risk-based processes and procedure, relevant to the role it plays in the authorization or Transmission of Entries, that are reasonably intended to identify Entries that are suspected of being unauthorized or authorized under False Pretenses; and</w:t>
      </w:r>
    </w:p>
    <w:p w14:paraId="06C24FA1" w14:textId="105491B1" w:rsidR="00137ACB" w:rsidRPr="00FA4033" w:rsidRDefault="00137ACB" w:rsidP="00137ACB">
      <w:pPr>
        <w:pStyle w:val="ListParagraph"/>
        <w:numPr>
          <w:ilvl w:val="0"/>
          <w:numId w:val="1"/>
        </w:numPr>
        <w:spacing w:line="240" w:lineRule="auto"/>
        <w:rPr>
          <w:rFonts w:ascii="Arial" w:hAnsi="Arial" w:cs="Arial"/>
          <w:i/>
          <w:iCs/>
          <w:sz w:val="18"/>
          <w:szCs w:val="18"/>
        </w:rPr>
      </w:pPr>
      <w:r w:rsidRPr="00FA4033">
        <w:rPr>
          <w:rFonts w:ascii="Arial" w:hAnsi="Arial" w:cs="Arial"/>
          <w:i/>
          <w:iCs/>
          <w:sz w:val="18"/>
          <w:szCs w:val="18"/>
        </w:rPr>
        <w:t>At least annually review these processes and procedures and make appropriate updates to address evolving risks.</w:t>
      </w:r>
    </w:p>
    <w:p w14:paraId="6ACC49A7" w14:textId="3A328C05" w:rsidR="00137ACB" w:rsidRPr="00FA4033" w:rsidRDefault="00137ACB" w:rsidP="00137ACB">
      <w:pPr>
        <w:spacing w:line="240" w:lineRule="auto"/>
        <w:contextualSpacing/>
        <w:rPr>
          <w:rFonts w:ascii="Arial" w:hAnsi="Arial" w:cs="Arial"/>
          <w:i/>
          <w:iCs/>
          <w:sz w:val="18"/>
          <w:szCs w:val="18"/>
        </w:rPr>
      </w:pPr>
      <w:r w:rsidRPr="00FA4033">
        <w:rPr>
          <w:rFonts w:ascii="Arial" w:hAnsi="Arial" w:cs="Arial"/>
          <w:i/>
          <w:iCs/>
          <w:sz w:val="18"/>
          <w:szCs w:val="18"/>
        </w:rPr>
        <w:t>These processes and procedures do not require the screening of every ACH Entry individually and do not need to be performed prior to the processing of Entries.</w:t>
      </w:r>
    </w:p>
    <w:p w14:paraId="04224962" w14:textId="71603F95" w:rsidR="00137ACB" w:rsidRPr="00AE6958" w:rsidRDefault="00137ACB" w:rsidP="00137ACB">
      <w:pPr>
        <w:pStyle w:val="ListParagraph"/>
        <w:numPr>
          <w:ilvl w:val="0"/>
          <w:numId w:val="3"/>
        </w:numPr>
        <w:spacing w:line="240" w:lineRule="auto"/>
        <w:rPr>
          <w:rFonts w:ascii="Arial" w:hAnsi="Arial" w:cs="Arial"/>
          <w:sz w:val="18"/>
          <w:szCs w:val="18"/>
        </w:rPr>
      </w:pPr>
      <w:r w:rsidRPr="00AE6958">
        <w:rPr>
          <w:rFonts w:ascii="Arial" w:hAnsi="Arial" w:cs="Arial"/>
          <w:sz w:val="18"/>
          <w:szCs w:val="18"/>
        </w:rPr>
        <w:t>Phase 1 – March 20</w:t>
      </w:r>
      <w:r w:rsidRPr="00AE6958">
        <w:rPr>
          <w:rFonts w:ascii="Arial" w:hAnsi="Arial" w:cs="Arial"/>
          <w:sz w:val="18"/>
          <w:szCs w:val="18"/>
          <w:vertAlign w:val="superscript"/>
        </w:rPr>
        <w:t>th</w:t>
      </w:r>
      <w:r w:rsidRPr="00AE6958">
        <w:rPr>
          <w:rFonts w:ascii="Arial" w:hAnsi="Arial" w:cs="Arial"/>
          <w:sz w:val="18"/>
          <w:szCs w:val="18"/>
        </w:rPr>
        <w:t>, 2026</w:t>
      </w:r>
    </w:p>
    <w:p w14:paraId="44D57F2B" w14:textId="6D7E0F1D" w:rsidR="00137ACB" w:rsidRPr="00AE6958" w:rsidRDefault="00137ACB" w:rsidP="00137ACB">
      <w:pPr>
        <w:pStyle w:val="ListParagraph"/>
        <w:numPr>
          <w:ilvl w:val="1"/>
          <w:numId w:val="3"/>
        </w:numPr>
        <w:spacing w:line="240" w:lineRule="auto"/>
        <w:rPr>
          <w:rFonts w:ascii="Arial" w:hAnsi="Arial" w:cs="Arial"/>
          <w:sz w:val="18"/>
          <w:szCs w:val="18"/>
        </w:rPr>
      </w:pPr>
      <w:r w:rsidRPr="00AE6958">
        <w:rPr>
          <w:rFonts w:ascii="Arial" w:hAnsi="Arial" w:cs="Arial"/>
          <w:sz w:val="18"/>
          <w:szCs w:val="18"/>
        </w:rPr>
        <w:t>All ODFIs</w:t>
      </w:r>
    </w:p>
    <w:p w14:paraId="3AF80169" w14:textId="1546CB8F" w:rsidR="00137ACB" w:rsidRPr="00AE6958" w:rsidRDefault="00137ACB" w:rsidP="00137ACB">
      <w:pPr>
        <w:pStyle w:val="ListParagraph"/>
        <w:numPr>
          <w:ilvl w:val="1"/>
          <w:numId w:val="3"/>
        </w:numPr>
        <w:spacing w:line="240" w:lineRule="auto"/>
        <w:rPr>
          <w:rFonts w:ascii="Arial" w:hAnsi="Arial" w:cs="Arial"/>
          <w:sz w:val="18"/>
          <w:szCs w:val="18"/>
        </w:rPr>
      </w:pPr>
      <w:r w:rsidRPr="00AE6958">
        <w:rPr>
          <w:rFonts w:ascii="Arial" w:hAnsi="Arial" w:cs="Arial"/>
          <w:sz w:val="18"/>
          <w:szCs w:val="18"/>
        </w:rPr>
        <w:t>6 million+ in volume during 2023 for non-consumer Originators, TPS, &amp; TPSP</w:t>
      </w:r>
    </w:p>
    <w:p w14:paraId="7810C269" w14:textId="0A00E356" w:rsidR="00137ACB" w:rsidRPr="00AE6958" w:rsidRDefault="00137ACB" w:rsidP="00137ACB">
      <w:pPr>
        <w:pStyle w:val="ListParagraph"/>
        <w:numPr>
          <w:ilvl w:val="0"/>
          <w:numId w:val="3"/>
        </w:numPr>
        <w:spacing w:line="240" w:lineRule="auto"/>
        <w:rPr>
          <w:rFonts w:ascii="Arial" w:hAnsi="Arial" w:cs="Arial"/>
          <w:sz w:val="18"/>
          <w:szCs w:val="18"/>
        </w:rPr>
      </w:pPr>
      <w:r w:rsidRPr="00AE6958">
        <w:rPr>
          <w:rFonts w:ascii="Arial" w:hAnsi="Arial" w:cs="Arial"/>
          <w:sz w:val="18"/>
          <w:szCs w:val="18"/>
        </w:rPr>
        <w:t>Phase 2 – June 19</w:t>
      </w:r>
      <w:r w:rsidRPr="00AE6958">
        <w:rPr>
          <w:rFonts w:ascii="Arial" w:hAnsi="Arial" w:cs="Arial"/>
          <w:sz w:val="18"/>
          <w:szCs w:val="18"/>
          <w:vertAlign w:val="superscript"/>
        </w:rPr>
        <w:t>th</w:t>
      </w:r>
      <w:r w:rsidRPr="00AE6958">
        <w:rPr>
          <w:rFonts w:ascii="Arial" w:hAnsi="Arial" w:cs="Arial"/>
          <w:sz w:val="18"/>
          <w:szCs w:val="18"/>
        </w:rPr>
        <w:t>, 2026</w:t>
      </w:r>
    </w:p>
    <w:p w14:paraId="1FB9153E" w14:textId="105A0365" w:rsidR="00137ACB" w:rsidRPr="00AE6958" w:rsidRDefault="00137ACB" w:rsidP="00137ACB">
      <w:pPr>
        <w:pStyle w:val="ListParagraph"/>
        <w:numPr>
          <w:ilvl w:val="1"/>
          <w:numId w:val="3"/>
        </w:numPr>
        <w:spacing w:line="240" w:lineRule="auto"/>
        <w:rPr>
          <w:rFonts w:ascii="Arial" w:hAnsi="Arial" w:cs="Arial"/>
          <w:sz w:val="18"/>
          <w:szCs w:val="18"/>
        </w:rPr>
      </w:pPr>
      <w:r w:rsidRPr="00AE6958">
        <w:rPr>
          <w:rFonts w:ascii="Arial" w:hAnsi="Arial" w:cs="Arial"/>
          <w:sz w:val="18"/>
          <w:szCs w:val="18"/>
        </w:rPr>
        <w:t>Remainer of non-consumer Originators, TPS, &amp; TPSP</w:t>
      </w:r>
    </w:p>
    <w:p w14:paraId="5C932431" w14:textId="47DE631C" w:rsidR="00137ACB" w:rsidRPr="00AE6958" w:rsidRDefault="00137ACB" w:rsidP="00137ACB">
      <w:pPr>
        <w:spacing w:line="240" w:lineRule="auto"/>
        <w:contextualSpacing/>
        <w:rPr>
          <w:rFonts w:ascii="Arial" w:hAnsi="Arial" w:cs="Arial"/>
          <w:b/>
          <w:bCs/>
          <w:sz w:val="18"/>
          <w:szCs w:val="18"/>
        </w:rPr>
      </w:pPr>
      <w:r w:rsidRPr="00AE6958">
        <w:rPr>
          <w:rFonts w:ascii="Arial" w:hAnsi="Arial" w:cs="Arial"/>
          <w:b/>
          <w:bCs/>
          <w:sz w:val="18"/>
          <w:szCs w:val="18"/>
        </w:rPr>
        <w:t>Subsection 3.1.10 Identification of Unauthorized Credit Entries or Credit Entries Authorized Under False Pretenses</w:t>
      </w:r>
    </w:p>
    <w:p w14:paraId="124D3AB9" w14:textId="1C3E0743" w:rsidR="00137ACB" w:rsidRPr="00FA4033" w:rsidRDefault="00137ACB" w:rsidP="00137ACB">
      <w:pPr>
        <w:spacing w:line="240" w:lineRule="auto"/>
        <w:contextualSpacing/>
        <w:rPr>
          <w:rFonts w:ascii="Arial" w:hAnsi="Arial" w:cs="Arial"/>
          <w:i/>
          <w:iCs/>
          <w:sz w:val="18"/>
          <w:szCs w:val="18"/>
        </w:rPr>
      </w:pPr>
      <w:r w:rsidRPr="00FA4033">
        <w:rPr>
          <w:rFonts w:ascii="Arial" w:hAnsi="Arial" w:cs="Arial"/>
          <w:i/>
          <w:iCs/>
          <w:sz w:val="18"/>
          <w:szCs w:val="18"/>
        </w:rPr>
        <w:t xml:space="preserve">Each RDFI must:  </w:t>
      </w:r>
    </w:p>
    <w:p w14:paraId="4EA33ABF" w14:textId="79064E87" w:rsidR="00AE6958" w:rsidRPr="00FA4033" w:rsidRDefault="00137ACB" w:rsidP="00AE6958">
      <w:pPr>
        <w:pStyle w:val="ListParagraph"/>
        <w:numPr>
          <w:ilvl w:val="0"/>
          <w:numId w:val="4"/>
        </w:numPr>
        <w:spacing w:line="240" w:lineRule="auto"/>
        <w:rPr>
          <w:rFonts w:ascii="Arial" w:hAnsi="Arial" w:cs="Arial"/>
          <w:i/>
          <w:iCs/>
          <w:sz w:val="18"/>
          <w:szCs w:val="18"/>
        </w:rPr>
      </w:pPr>
      <w:r w:rsidRPr="00FA4033">
        <w:rPr>
          <w:rFonts w:ascii="Arial" w:hAnsi="Arial" w:cs="Arial"/>
          <w:i/>
          <w:iCs/>
          <w:sz w:val="18"/>
          <w:szCs w:val="18"/>
        </w:rPr>
        <w:t xml:space="preserve">Establish and implement risk-based processes and procedures, relevant to the role the RDFI plays in the connection with the receipt of credit Entries, that are reasonably intended to identify </w:t>
      </w:r>
      <w:r w:rsidR="00AE6958" w:rsidRPr="00FA4033">
        <w:rPr>
          <w:rFonts w:ascii="Arial" w:hAnsi="Arial" w:cs="Arial"/>
          <w:i/>
          <w:iCs/>
          <w:sz w:val="18"/>
          <w:szCs w:val="18"/>
        </w:rPr>
        <w:t>credit entries that are suspected of being unauthorized or authorized under false pretenses including processes and procedure for responding when credit Entries are identified as potentially</w:t>
      </w:r>
    </w:p>
    <w:p w14:paraId="7632AFEB" w14:textId="2CFF219D" w:rsidR="00AE6958" w:rsidRPr="00FA4033" w:rsidRDefault="00AE6958" w:rsidP="00AE6958">
      <w:pPr>
        <w:pStyle w:val="ListParagraph"/>
        <w:numPr>
          <w:ilvl w:val="0"/>
          <w:numId w:val="4"/>
        </w:numPr>
        <w:spacing w:line="240" w:lineRule="auto"/>
        <w:rPr>
          <w:rFonts w:ascii="Arial" w:hAnsi="Arial" w:cs="Arial"/>
          <w:i/>
          <w:iCs/>
          <w:sz w:val="18"/>
          <w:szCs w:val="18"/>
        </w:rPr>
      </w:pPr>
      <w:r w:rsidRPr="00FA4033">
        <w:rPr>
          <w:rFonts w:ascii="Arial" w:hAnsi="Arial" w:cs="Arial"/>
          <w:i/>
          <w:iCs/>
          <w:sz w:val="18"/>
          <w:szCs w:val="18"/>
        </w:rPr>
        <w:t>At least annually review these processes and procedures and make appropriate updates to address evolving risks.</w:t>
      </w:r>
    </w:p>
    <w:p w14:paraId="2C224E3F" w14:textId="0B87AF7D" w:rsidR="00AE6958" w:rsidRPr="00FA4033" w:rsidRDefault="00AE6958" w:rsidP="00AE6958">
      <w:pPr>
        <w:spacing w:line="240" w:lineRule="auto"/>
        <w:rPr>
          <w:rFonts w:ascii="Arial" w:hAnsi="Arial" w:cs="Arial"/>
          <w:i/>
          <w:iCs/>
          <w:sz w:val="18"/>
          <w:szCs w:val="18"/>
        </w:rPr>
      </w:pPr>
      <w:r w:rsidRPr="00FA4033">
        <w:rPr>
          <w:rFonts w:ascii="Arial" w:hAnsi="Arial" w:cs="Arial"/>
          <w:i/>
          <w:iCs/>
          <w:sz w:val="18"/>
          <w:szCs w:val="18"/>
        </w:rPr>
        <w:t xml:space="preserve">Thes processes and procedures do not require the screening of every ACH Entry individually and do not need to be performed prior to the processing of entries.  </w:t>
      </w:r>
    </w:p>
    <w:p w14:paraId="6C193993" w14:textId="5EE83E10" w:rsidR="00AE6958" w:rsidRDefault="00AE6958" w:rsidP="00AE6958">
      <w:pPr>
        <w:pStyle w:val="ListParagraph"/>
        <w:numPr>
          <w:ilvl w:val="0"/>
          <w:numId w:val="5"/>
        </w:numPr>
        <w:spacing w:line="240" w:lineRule="auto"/>
        <w:rPr>
          <w:rFonts w:ascii="Arial" w:hAnsi="Arial" w:cs="Arial"/>
          <w:sz w:val="18"/>
          <w:szCs w:val="18"/>
        </w:rPr>
      </w:pPr>
      <w:r>
        <w:rPr>
          <w:rFonts w:ascii="Arial" w:hAnsi="Arial" w:cs="Arial"/>
          <w:sz w:val="18"/>
          <w:szCs w:val="18"/>
        </w:rPr>
        <w:t>Phase 1 – March 20</w:t>
      </w:r>
      <w:r w:rsidRPr="00AE6958">
        <w:rPr>
          <w:rFonts w:ascii="Arial" w:hAnsi="Arial" w:cs="Arial"/>
          <w:sz w:val="18"/>
          <w:szCs w:val="18"/>
          <w:vertAlign w:val="superscript"/>
        </w:rPr>
        <w:t>th</w:t>
      </w:r>
      <w:r>
        <w:rPr>
          <w:rFonts w:ascii="Arial" w:hAnsi="Arial" w:cs="Arial"/>
          <w:sz w:val="18"/>
          <w:szCs w:val="18"/>
        </w:rPr>
        <w:t>, 2026</w:t>
      </w:r>
    </w:p>
    <w:p w14:paraId="741EF02D" w14:textId="695B4CA5" w:rsidR="00AE6958" w:rsidRDefault="00AE6958" w:rsidP="00AE6958">
      <w:pPr>
        <w:pStyle w:val="ListParagraph"/>
        <w:numPr>
          <w:ilvl w:val="1"/>
          <w:numId w:val="5"/>
        </w:numPr>
        <w:spacing w:line="240" w:lineRule="auto"/>
        <w:rPr>
          <w:rFonts w:ascii="Arial" w:hAnsi="Arial" w:cs="Arial"/>
          <w:sz w:val="18"/>
          <w:szCs w:val="18"/>
        </w:rPr>
      </w:pPr>
      <w:r>
        <w:rPr>
          <w:rFonts w:ascii="Arial" w:hAnsi="Arial" w:cs="Arial"/>
          <w:sz w:val="18"/>
          <w:szCs w:val="18"/>
        </w:rPr>
        <w:t>10 million + volume during 2023 as RDFI</w:t>
      </w:r>
    </w:p>
    <w:p w14:paraId="60F1EBDE" w14:textId="29912763" w:rsidR="00AE6958" w:rsidRDefault="00AE6958" w:rsidP="00AE6958">
      <w:pPr>
        <w:pStyle w:val="ListParagraph"/>
        <w:numPr>
          <w:ilvl w:val="0"/>
          <w:numId w:val="5"/>
        </w:numPr>
        <w:spacing w:line="240" w:lineRule="auto"/>
        <w:rPr>
          <w:rFonts w:ascii="Arial" w:hAnsi="Arial" w:cs="Arial"/>
          <w:sz w:val="18"/>
          <w:szCs w:val="18"/>
        </w:rPr>
      </w:pPr>
      <w:r>
        <w:rPr>
          <w:rFonts w:ascii="Arial" w:hAnsi="Arial" w:cs="Arial"/>
          <w:sz w:val="18"/>
          <w:szCs w:val="18"/>
        </w:rPr>
        <w:t>Phase 2 – June 19</w:t>
      </w:r>
      <w:r w:rsidRPr="00AE6958">
        <w:rPr>
          <w:rFonts w:ascii="Arial" w:hAnsi="Arial" w:cs="Arial"/>
          <w:sz w:val="18"/>
          <w:szCs w:val="18"/>
          <w:vertAlign w:val="superscript"/>
        </w:rPr>
        <w:t>th</w:t>
      </w:r>
      <w:r>
        <w:rPr>
          <w:rFonts w:ascii="Arial" w:hAnsi="Arial" w:cs="Arial"/>
          <w:sz w:val="18"/>
          <w:szCs w:val="18"/>
        </w:rPr>
        <w:t>, 2026</w:t>
      </w:r>
    </w:p>
    <w:p w14:paraId="7572A874" w14:textId="6B85D8AC" w:rsidR="00AE6958" w:rsidRDefault="00AE6958" w:rsidP="00AE6958">
      <w:pPr>
        <w:pStyle w:val="ListParagraph"/>
        <w:numPr>
          <w:ilvl w:val="1"/>
          <w:numId w:val="5"/>
        </w:numPr>
        <w:spacing w:line="240" w:lineRule="auto"/>
        <w:rPr>
          <w:rFonts w:ascii="Arial" w:hAnsi="Arial" w:cs="Arial"/>
          <w:sz w:val="18"/>
          <w:szCs w:val="18"/>
        </w:rPr>
      </w:pPr>
      <w:r>
        <w:rPr>
          <w:rFonts w:ascii="Arial" w:hAnsi="Arial" w:cs="Arial"/>
          <w:sz w:val="18"/>
          <w:szCs w:val="18"/>
        </w:rPr>
        <w:t>Remainder of RDFIs</w:t>
      </w:r>
    </w:p>
    <w:p w14:paraId="1D9A3E69" w14:textId="77777777" w:rsidR="00AE6958" w:rsidRDefault="00AE6958" w:rsidP="00AE6958">
      <w:pPr>
        <w:spacing w:line="240" w:lineRule="auto"/>
        <w:rPr>
          <w:rFonts w:ascii="Arial" w:hAnsi="Arial" w:cs="Arial"/>
          <w:sz w:val="18"/>
          <w:szCs w:val="18"/>
        </w:rPr>
      </w:pPr>
    </w:p>
    <w:p w14:paraId="20A71416" w14:textId="77777777" w:rsidR="00AE6958" w:rsidRDefault="00AE6958" w:rsidP="00AE6958">
      <w:pPr>
        <w:spacing w:line="240" w:lineRule="auto"/>
        <w:rPr>
          <w:rFonts w:ascii="Arial" w:hAnsi="Arial" w:cs="Arial"/>
          <w:sz w:val="18"/>
          <w:szCs w:val="18"/>
        </w:rPr>
      </w:pPr>
    </w:p>
    <w:p w14:paraId="3850C90D" w14:textId="77777777" w:rsidR="00AE6958" w:rsidRDefault="00AE6958" w:rsidP="00AE6958">
      <w:pPr>
        <w:spacing w:line="240" w:lineRule="auto"/>
        <w:rPr>
          <w:rFonts w:ascii="Arial" w:hAnsi="Arial" w:cs="Arial"/>
          <w:sz w:val="18"/>
          <w:szCs w:val="18"/>
        </w:rPr>
      </w:pPr>
    </w:p>
    <w:tbl>
      <w:tblPr>
        <w:tblStyle w:val="TableGrid"/>
        <w:tblW w:w="0" w:type="auto"/>
        <w:tblLook w:val="04A0" w:firstRow="1" w:lastRow="0" w:firstColumn="1" w:lastColumn="0" w:noHBand="0" w:noVBand="1"/>
      </w:tblPr>
      <w:tblGrid>
        <w:gridCol w:w="5030"/>
      </w:tblGrid>
      <w:tr w:rsidR="00DE0F0D" w:rsidRPr="00DE0F0D" w14:paraId="33E2C3AC" w14:textId="77777777" w:rsidTr="00DE0F0D">
        <w:tc>
          <w:tcPr>
            <w:tcW w:w="5030" w:type="dxa"/>
            <w:tcBorders>
              <w:bottom w:val="single" w:sz="4" w:space="0" w:color="auto"/>
            </w:tcBorders>
            <w:shd w:val="clear" w:color="auto" w:fill="215E99" w:themeFill="text2" w:themeFillTint="BF"/>
          </w:tcPr>
          <w:p w14:paraId="1964321A" w14:textId="4DB9F231" w:rsidR="00AE6958" w:rsidRPr="00D16D4C" w:rsidRDefault="00AE6958" w:rsidP="00DE0F0D">
            <w:pPr>
              <w:jc w:val="center"/>
              <w:rPr>
                <w:rFonts w:ascii="Arial" w:hAnsi="Arial" w:cs="Arial"/>
                <w:b/>
                <w:bCs/>
                <w:color w:val="FFFFFF" w:themeColor="background1"/>
                <w:sz w:val="18"/>
                <w:szCs w:val="18"/>
              </w:rPr>
            </w:pPr>
            <w:r w:rsidRPr="00D16D4C">
              <w:rPr>
                <w:rFonts w:ascii="Arial" w:hAnsi="Arial" w:cs="Arial"/>
                <w:b/>
                <w:bCs/>
                <w:color w:val="FFFFFF" w:themeColor="background1"/>
                <w:sz w:val="18"/>
                <w:szCs w:val="18"/>
              </w:rPr>
              <w:t>Highlights</w:t>
            </w:r>
            <w:r w:rsidR="00EB0974" w:rsidRPr="00D16D4C">
              <w:rPr>
                <w:rFonts w:ascii="Arial" w:hAnsi="Arial" w:cs="Arial"/>
                <w:b/>
                <w:bCs/>
                <w:color w:val="FFFFFF" w:themeColor="background1"/>
                <w:sz w:val="18"/>
                <w:szCs w:val="18"/>
              </w:rPr>
              <w:t xml:space="preserve"> of Participants</w:t>
            </w:r>
          </w:p>
        </w:tc>
      </w:tr>
      <w:tr w:rsidR="00AE6958" w14:paraId="559BF714" w14:textId="77777777" w:rsidTr="00DE0F0D">
        <w:tc>
          <w:tcPr>
            <w:tcW w:w="5030" w:type="dxa"/>
            <w:shd w:val="clear" w:color="auto" w:fill="DAE9F7" w:themeFill="text2" w:themeFillTint="1A"/>
          </w:tcPr>
          <w:p w14:paraId="63BE1740" w14:textId="3E33669F" w:rsidR="00AE6958" w:rsidRDefault="00AE6958" w:rsidP="00AE6958">
            <w:pPr>
              <w:pStyle w:val="ListParagraph"/>
              <w:numPr>
                <w:ilvl w:val="0"/>
                <w:numId w:val="7"/>
              </w:numPr>
              <w:rPr>
                <w:rFonts w:ascii="Arial" w:hAnsi="Arial" w:cs="Arial"/>
                <w:sz w:val="18"/>
                <w:szCs w:val="18"/>
              </w:rPr>
            </w:pPr>
            <w:r w:rsidRPr="00EB0974">
              <w:rPr>
                <w:rFonts w:ascii="Arial" w:hAnsi="Arial" w:cs="Arial"/>
                <w:b/>
                <w:bCs/>
                <w:sz w:val="18"/>
                <w:szCs w:val="18"/>
              </w:rPr>
              <w:t>ODFI</w:t>
            </w:r>
            <w:r>
              <w:rPr>
                <w:rFonts w:ascii="Arial" w:hAnsi="Arial" w:cs="Arial"/>
                <w:sz w:val="18"/>
                <w:szCs w:val="18"/>
              </w:rPr>
              <w:t xml:space="preserve"> – The final line of defense or sending point for transmitting entries to ACH Operator (unless using TPSP</w:t>
            </w:r>
            <w:r w:rsidR="00EB0974">
              <w:rPr>
                <w:rFonts w:ascii="Arial" w:hAnsi="Arial" w:cs="Arial"/>
                <w:sz w:val="18"/>
                <w:szCs w:val="18"/>
              </w:rPr>
              <w:t xml:space="preserve"> as sending point).  The ODFI is at the beginning of the “chain of agreements</w:t>
            </w:r>
            <w:proofErr w:type="gramStart"/>
            <w:r w:rsidR="00EB0974">
              <w:rPr>
                <w:rFonts w:ascii="Arial" w:hAnsi="Arial" w:cs="Arial"/>
                <w:sz w:val="18"/>
                <w:szCs w:val="18"/>
              </w:rPr>
              <w:t>”, and</w:t>
            </w:r>
            <w:proofErr w:type="gramEnd"/>
            <w:r w:rsidR="00EB0974">
              <w:rPr>
                <w:rFonts w:ascii="Arial" w:hAnsi="Arial" w:cs="Arial"/>
                <w:sz w:val="18"/>
                <w:szCs w:val="18"/>
              </w:rPr>
              <w:t xml:space="preserve"> can therefore monitor Originators and TPS (and ensuring TPS monitors their Nested TPS(s) and Originators) for their compliance with the 2026 rule changes and secure/encrypted transmission of account info.  ODFI has best economies of scale opportunities and payment subject matter experts to establish their own processes and procedures to identify atypical activity from baseline Originator/TPS activity.</w:t>
            </w:r>
          </w:p>
          <w:p w14:paraId="6ECE8BAD" w14:textId="77777777" w:rsidR="00EB0974" w:rsidRDefault="00EB0974" w:rsidP="00EB0974">
            <w:pPr>
              <w:rPr>
                <w:rFonts w:ascii="Arial" w:hAnsi="Arial" w:cs="Arial"/>
                <w:sz w:val="18"/>
                <w:szCs w:val="18"/>
              </w:rPr>
            </w:pPr>
          </w:p>
          <w:p w14:paraId="424BFC63" w14:textId="5BF41747" w:rsidR="00EB0974" w:rsidRDefault="00EB0974" w:rsidP="00EB0974">
            <w:pPr>
              <w:pStyle w:val="ListParagraph"/>
              <w:numPr>
                <w:ilvl w:val="0"/>
                <w:numId w:val="7"/>
              </w:numPr>
              <w:rPr>
                <w:rFonts w:ascii="Arial" w:hAnsi="Arial" w:cs="Arial"/>
                <w:sz w:val="18"/>
                <w:szCs w:val="18"/>
              </w:rPr>
            </w:pPr>
            <w:r w:rsidRPr="00EB0974">
              <w:rPr>
                <w:rFonts w:ascii="Arial" w:hAnsi="Arial" w:cs="Arial"/>
                <w:b/>
                <w:bCs/>
                <w:sz w:val="18"/>
                <w:szCs w:val="18"/>
              </w:rPr>
              <w:t>Originator</w:t>
            </w:r>
            <w:r>
              <w:rPr>
                <w:rFonts w:ascii="Arial" w:hAnsi="Arial" w:cs="Arial"/>
                <w:sz w:val="18"/>
                <w:szCs w:val="18"/>
              </w:rPr>
              <w:t xml:space="preserve"> – Most of their entries are recurring, sent to the same employees, customers, vendors, etc. and are therefore in the best position to </w:t>
            </w:r>
            <w:r w:rsidR="00DE0F0D">
              <w:rPr>
                <w:rFonts w:ascii="Arial" w:hAnsi="Arial" w:cs="Arial"/>
                <w:sz w:val="18"/>
                <w:szCs w:val="18"/>
              </w:rPr>
              <w:t>identify</w:t>
            </w:r>
            <w:r>
              <w:rPr>
                <w:rFonts w:ascii="Arial" w:hAnsi="Arial" w:cs="Arial"/>
                <w:sz w:val="18"/>
                <w:szCs w:val="18"/>
              </w:rPr>
              <w:t xml:space="preserve"> new Receiver or when an existing Receiver’s information suddenly changes.  Originator needs to ensure authorization of credit Entries is sound and that proper due diligence on the Receiver has been performed.  </w:t>
            </w:r>
          </w:p>
          <w:p w14:paraId="781E2F70" w14:textId="77777777" w:rsidR="00EB0974" w:rsidRPr="00EB0974" w:rsidRDefault="00EB0974" w:rsidP="00EB0974">
            <w:pPr>
              <w:pStyle w:val="ListParagraph"/>
              <w:rPr>
                <w:rFonts w:ascii="Arial" w:hAnsi="Arial" w:cs="Arial"/>
                <w:sz w:val="18"/>
                <w:szCs w:val="18"/>
              </w:rPr>
            </w:pPr>
          </w:p>
          <w:p w14:paraId="014C7FF9" w14:textId="77777777" w:rsidR="00EB0974" w:rsidRDefault="00EB0974" w:rsidP="00EB0974">
            <w:pPr>
              <w:pStyle w:val="ListParagraph"/>
              <w:numPr>
                <w:ilvl w:val="0"/>
                <w:numId w:val="7"/>
              </w:numPr>
              <w:rPr>
                <w:rFonts w:ascii="Arial" w:hAnsi="Arial" w:cs="Arial"/>
                <w:sz w:val="18"/>
                <w:szCs w:val="18"/>
              </w:rPr>
            </w:pPr>
            <w:r w:rsidRPr="00DE0F0D">
              <w:rPr>
                <w:rFonts w:ascii="Arial" w:hAnsi="Arial" w:cs="Arial"/>
                <w:b/>
                <w:bCs/>
                <w:sz w:val="18"/>
                <w:szCs w:val="18"/>
              </w:rPr>
              <w:t>Third-Party Sender</w:t>
            </w:r>
            <w:r>
              <w:rPr>
                <w:rFonts w:ascii="Arial" w:hAnsi="Arial" w:cs="Arial"/>
                <w:sz w:val="18"/>
                <w:szCs w:val="18"/>
              </w:rPr>
              <w:t xml:space="preserve"> – Acts like an ODFI in its responsibility and </w:t>
            </w:r>
            <w:r w:rsidR="00DE0F0D">
              <w:rPr>
                <w:rFonts w:ascii="Arial" w:hAnsi="Arial" w:cs="Arial"/>
                <w:sz w:val="18"/>
                <w:szCs w:val="18"/>
              </w:rPr>
              <w:t xml:space="preserve">rules enforcement of its Nested TPS (if applicable) and Originator relationships before transmitting payments to the ODFI.  </w:t>
            </w:r>
          </w:p>
          <w:p w14:paraId="6ED63012" w14:textId="77777777" w:rsidR="00DE0F0D" w:rsidRPr="00DE0F0D" w:rsidRDefault="00DE0F0D" w:rsidP="00DE0F0D">
            <w:pPr>
              <w:pStyle w:val="ListParagraph"/>
              <w:rPr>
                <w:rFonts w:ascii="Arial" w:hAnsi="Arial" w:cs="Arial"/>
                <w:sz w:val="18"/>
                <w:szCs w:val="18"/>
              </w:rPr>
            </w:pPr>
          </w:p>
          <w:p w14:paraId="144572EF" w14:textId="28E23498" w:rsidR="00DE0F0D" w:rsidRDefault="00DE0F0D" w:rsidP="00EB0974">
            <w:pPr>
              <w:pStyle w:val="ListParagraph"/>
              <w:numPr>
                <w:ilvl w:val="0"/>
                <w:numId w:val="7"/>
              </w:numPr>
              <w:rPr>
                <w:rFonts w:ascii="Arial" w:hAnsi="Arial" w:cs="Arial"/>
                <w:sz w:val="18"/>
                <w:szCs w:val="18"/>
              </w:rPr>
            </w:pPr>
            <w:r w:rsidRPr="00DE0F0D">
              <w:rPr>
                <w:rFonts w:ascii="Arial" w:hAnsi="Arial" w:cs="Arial"/>
                <w:b/>
                <w:bCs/>
                <w:sz w:val="18"/>
                <w:szCs w:val="18"/>
              </w:rPr>
              <w:t>Third-Party Service Provider</w:t>
            </w:r>
            <w:r>
              <w:rPr>
                <w:rFonts w:ascii="Arial" w:hAnsi="Arial" w:cs="Arial"/>
                <w:sz w:val="18"/>
                <w:szCs w:val="18"/>
              </w:rPr>
              <w:t xml:space="preserve"> – Whether they assist with an Originator or TPS or act as a sending point for an ODFI, they should ensure secure/encrypted transmission of entries and establish processes and procedures to assist in detecting Entries that are atypical from baseline activity during the origination process.  </w:t>
            </w:r>
          </w:p>
          <w:p w14:paraId="47570321" w14:textId="77777777" w:rsidR="00DE0F0D" w:rsidRPr="00DE0F0D" w:rsidRDefault="00DE0F0D" w:rsidP="00DE0F0D">
            <w:pPr>
              <w:pStyle w:val="ListParagraph"/>
              <w:rPr>
                <w:rFonts w:ascii="Arial" w:hAnsi="Arial" w:cs="Arial"/>
                <w:sz w:val="18"/>
                <w:szCs w:val="18"/>
              </w:rPr>
            </w:pPr>
          </w:p>
          <w:p w14:paraId="4823357C" w14:textId="7356AAA4" w:rsidR="00DE0F0D" w:rsidRPr="00437687" w:rsidRDefault="00DE0F0D" w:rsidP="00DE0F0D">
            <w:pPr>
              <w:pStyle w:val="ListParagraph"/>
              <w:numPr>
                <w:ilvl w:val="0"/>
                <w:numId w:val="7"/>
              </w:numPr>
              <w:rPr>
                <w:rFonts w:ascii="Arial" w:hAnsi="Arial" w:cs="Arial"/>
                <w:sz w:val="18"/>
                <w:szCs w:val="18"/>
              </w:rPr>
            </w:pPr>
            <w:r w:rsidRPr="00437687">
              <w:rPr>
                <w:rFonts w:ascii="Arial" w:hAnsi="Arial" w:cs="Arial"/>
                <w:b/>
                <w:bCs/>
                <w:sz w:val="18"/>
                <w:szCs w:val="18"/>
              </w:rPr>
              <w:t>RDFI</w:t>
            </w:r>
            <w:r w:rsidRPr="00437687">
              <w:rPr>
                <w:rFonts w:ascii="Arial" w:hAnsi="Arial" w:cs="Arial"/>
                <w:sz w:val="18"/>
                <w:szCs w:val="18"/>
              </w:rPr>
              <w:t xml:space="preserve"> – In the best position to know the characteristics of a Receiver who is either the fraudster or in a money mule situation.  May already have monitoring in process per FFIEC BSA/AML requirements, but their role in </w:t>
            </w:r>
            <w:proofErr w:type="gramStart"/>
            <w:r w:rsidRPr="00437687">
              <w:rPr>
                <w:rFonts w:ascii="Arial" w:hAnsi="Arial" w:cs="Arial"/>
                <w:sz w:val="18"/>
                <w:szCs w:val="18"/>
              </w:rPr>
              <w:t>escalating  possible</w:t>
            </w:r>
            <w:proofErr w:type="gramEnd"/>
            <w:r w:rsidRPr="00437687">
              <w:rPr>
                <w:rFonts w:ascii="Arial" w:hAnsi="Arial" w:cs="Arial"/>
                <w:sz w:val="18"/>
                <w:szCs w:val="18"/>
              </w:rPr>
              <w:t xml:space="preserve"> fraud observed could greatly help reduce credit push fraud on the ACH Network.  </w:t>
            </w:r>
          </w:p>
          <w:p w14:paraId="1D79681E" w14:textId="774080F5" w:rsidR="00DE0F0D" w:rsidRPr="00EB0974" w:rsidRDefault="00DE0F0D" w:rsidP="00DE0F0D">
            <w:pPr>
              <w:pStyle w:val="ListParagraph"/>
              <w:rPr>
                <w:rFonts w:ascii="Arial" w:hAnsi="Arial" w:cs="Arial"/>
                <w:sz w:val="18"/>
                <w:szCs w:val="18"/>
              </w:rPr>
            </w:pPr>
          </w:p>
        </w:tc>
      </w:tr>
    </w:tbl>
    <w:p w14:paraId="7466B570" w14:textId="77777777" w:rsidR="00AE6958" w:rsidRDefault="00AE6958" w:rsidP="00437687">
      <w:pPr>
        <w:spacing w:line="240" w:lineRule="auto"/>
        <w:contextualSpacing/>
        <w:rPr>
          <w:rFonts w:ascii="Arial" w:hAnsi="Arial" w:cs="Arial"/>
          <w:sz w:val="18"/>
          <w:szCs w:val="18"/>
        </w:rPr>
      </w:pPr>
    </w:p>
    <w:p w14:paraId="40BEC305" w14:textId="37B09BEB" w:rsidR="00DE0F0D" w:rsidRDefault="00DE0F0D" w:rsidP="00437687">
      <w:pPr>
        <w:spacing w:line="240" w:lineRule="auto"/>
        <w:contextualSpacing/>
        <w:rPr>
          <w:rFonts w:ascii="Arial" w:hAnsi="Arial" w:cs="Arial"/>
          <w:b/>
          <w:bCs/>
          <w:color w:val="4C94D8" w:themeColor="text2" w:themeTint="80"/>
        </w:rPr>
      </w:pPr>
      <w:r w:rsidRPr="00437687">
        <w:rPr>
          <w:rFonts w:ascii="Arial" w:hAnsi="Arial" w:cs="Arial"/>
          <w:b/>
          <w:bCs/>
          <w:color w:val="4C94D8" w:themeColor="text2" w:themeTint="80"/>
        </w:rPr>
        <w:t xml:space="preserve">Fraud Statistics:  </w:t>
      </w:r>
    </w:p>
    <w:p w14:paraId="64A448B8" w14:textId="77777777" w:rsidR="00437687" w:rsidRPr="00437687" w:rsidRDefault="00437687" w:rsidP="00437687">
      <w:pPr>
        <w:spacing w:line="240" w:lineRule="auto"/>
        <w:contextualSpacing/>
        <w:rPr>
          <w:rFonts w:ascii="Arial" w:hAnsi="Arial" w:cs="Arial"/>
          <w:b/>
          <w:bCs/>
          <w:color w:val="4C94D8" w:themeColor="text2" w:themeTint="80"/>
        </w:rPr>
      </w:pPr>
    </w:p>
    <w:p w14:paraId="3D61DCD9" w14:textId="3C69532F" w:rsidR="00DE0F0D" w:rsidRDefault="00DE0F0D" w:rsidP="00437687">
      <w:pPr>
        <w:spacing w:line="240" w:lineRule="auto"/>
        <w:contextualSpacing/>
        <w:rPr>
          <w:rFonts w:ascii="Arial" w:hAnsi="Arial" w:cs="Arial"/>
          <w:b/>
          <w:bCs/>
          <w:sz w:val="20"/>
          <w:szCs w:val="20"/>
        </w:rPr>
      </w:pPr>
      <w:r w:rsidRPr="00437687">
        <w:rPr>
          <w:rFonts w:ascii="Arial" w:hAnsi="Arial" w:cs="Arial"/>
          <w:b/>
          <w:bCs/>
          <w:sz w:val="20"/>
          <w:szCs w:val="20"/>
        </w:rPr>
        <w:t>FinCEN Suspicious Activity Reporting (SAR):</w:t>
      </w:r>
    </w:p>
    <w:p w14:paraId="1C29A32C" w14:textId="54C2CCD1" w:rsidR="00437687" w:rsidRDefault="00437687" w:rsidP="00437687">
      <w:pPr>
        <w:pStyle w:val="ListParagraph"/>
        <w:numPr>
          <w:ilvl w:val="0"/>
          <w:numId w:val="8"/>
        </w:numPr>
        <w:spacing w:line="240" w:lineRule="auto"/>
        <w:rPr>
          <w:rFonts w:ascii="Arial" w:hAnsi="Arial" w:cs="Arial"/>
          <w:sz w:val="18"/>
          <w:szCs w:val="18"/>
        </w:rPr>
      </w:pPr>
      <w:r w:rsidRPr="00437687">
        <w:rPr>
          <w:rFonts w:ascii="Arial" w:hAnsi="Arial" w:cs="Arial"/>
          <w:sz w:val="18"/>
          <w:szCs w:val="18"/>
        </w:rPr>
        <w:t>204,927 for 2024 (up 2.5% from 2023, up 131% since 2019)</w:t>
      </w:r>
    </w:p>
    <w:p w14:paraId="1E221DD6" w14:textId="055FA508" w:rsidR="00437687" w:rsidRPr="00437687" w:rsidRDefault="00437687" w:rsidP="00437687">
      <w:pPr>
        <w:spacing w:line="240" w:lineRule="auto"/>
        <w:contextualSpacing/>
        <w:rPr>
          <w:rFonts w:ascii="Arial" w:hAnsi="Arial" w:cs="Arial"/>
          <w:b/>
          <w:bCs/>
          <w:sz w:val="20"/>
          <w:szCs w:val="20"/>
        </w:rPr>
      </w:pPr>
      <w:r w:rsidRPr="00437687">
        <w:rPr>
          <w:rFonts w:ascii="Arial" w:hAnsi="Arial" w:cs="Arial"/>
          <w:b/>
          <w:bCs/>
          <w:sz w:val="20"/>
          <w:szCs w:val="20"/>
        </w:rPr>
        <w:t>FBI IC3 Annual Report:</w:t>
      </w:r>
    </w:p>
    <w:p w14:paraId="4FF3E748" w14:textId="61ECB77B" w:rsidR="00437687" w:rsidRDefault="00437687" w:rsidP="00437687">
      <w:pPr>
        <w:pStyle w:val="ListParagraph"/>
        <w:numPr>
          <w:ilvl w:val="0"/>
          <w:numId w:val="8"/>
        </w:numPr>
        <w:spacing w:line="240" w:lineRule="auto"/>
        <w:rPr>
          <w:rFonts w:ascii="Arial" w:hAnsi="Arial" w:cs="Arial"/>
          <w:sz w:val="18"/>
          <w:szCs w:val="18"/>
        </w:rPr>
      </w:pPr>
      <w:r>
        <w:rPr>
          <w:rFonts w:ascii="Arial" w:hAnsi="Arial" w:cs="Arial"/>
          <w:sz w:val="18"/>
          <w:szCs w:val="18"/>
        </w:rPr>
        <w:t>Business Email Compromise:  $2.8 billion for 2024, though down from 2023’s $2.9 billion, is up 56% versus 2019’s $1.8 billion.</w:t>
      </w:r>
    </w:p>
    <w:p w14:paraId="4E017C5B" w14:textId="2373DF09" w:rsidR="00437687" w:rsidRDefault="00437687" w:rsidP="00437687">
      <w:pPr>
        <w:pStyle w:val="ListParagraph"/>
        <w:numPr>
          <w:ilvl w:val="0"/>
          <w:numId w:val="8"/>
        </w:numPr>
        <w:spacing w:line="240" w:lineRule="auto"/>
        <w:rPr>
          <w:rFonts w:ascii="Arial" w:hAnsi="Arial" w:cs="Arial"/>
          <w:sz w:val="18"/>
          <w:szCs w:val="18"/>
        </w:rPr>
      </w:pPr>
      <w:r>
        <w:rPr>
          <w:rFonts w:ascii="Arial" w:hAnsi="Arial" w:cs="Arial"/>
          <w:sz w:val="18"/>
          <w:szCs w:val="18"/>
        </w:rPr>
        <w:t>Data Breach Corporate:  $365 million for 2024, though down from 2023’s $534 million, is up 585% from 2019’s $53 million.</w:t>
      </w:r>
    </w:p>
    <w:p w14:paraId="4C68DBBD" w14:textId="5447DE7A" w:rsidR="00437687" w:rsidRDefault="00437687" w:rsidP="00437687">
      <w:pPr>
        <w:pStyle w:val="ListParagraph"/>
        <w:numPr>
          <w:ilvl w:val="0"/>
          <w:numId w:val="8"/>
        </w:numPr>
        <w:spacing w:line="240" w:lineRule="auto"/>
        <w:rPr>
          <w:rFonts w:ascii="Arial" w:hAnsi="Arial" w:cs="Arial"/>
          <w:sz w:val="18"/>
          <w:szCs w:val="18"/>
        </w:rPr>
      </w:pPr>
      <w:r>
        <w:rPr>
          <w:rFonts w:ascii="Arial" w:hAnsi="Arial" w:cs="Arial"/>
          <w:sz w:val="18"/>
          <w:szCs w:val="18"/>
        </w:rPr>
        <w:t>Impersonation schemes are increasing through 2024.</w:t>
      </w:r>
    </w:p>
    <w:p w14:paraId="70F587BF" w14:textId="77777777" w:rsidR="00437687" w:rsidRDefault="00437687" w:rsidP="00437687">
      <w:pPr>
        <w:spacing w:line="240" w:lineRule="auto"/>
        <w:rPr>
          <w:rFonts w:ascii="Arial" w:hAnsi="Arial" w:cs="Arial"/>
          <w:sz w:val="18"/>
          <w:szCs w:val="18"/>
        </w:rPr>
      </w:pPr>
    </w:p>
    <w:p w14:paraId="6DCE4C70" w14:textId="72412941" w:rsidR="00437687" w:rsidRDefault="001F25F6" w:rsidP="001F25F6">
      <w:pPr>
        <w:spacing w:line="240" w:lineRule="auto"/>
        <w:contextualSpacing/>
        <w:rPr>
          <w:rFonts w:ascii="Arial" w:hAnsi="Arial" w:cs="Arial"/>
          <w:b/>
          <w:bCs/>
          <w:color w:val="4C94D8" w:themeColor="text2" w:themeTint="80"/>
        </w:rPr>
      </w:pPr>
      <w:r w:rsidRPr="001F25F6">
        <w:rPr>
          <w:rFonts w:ascii="Arial" w:hAnsi="Arial" w:cs="Arial"/>
          <w:b/>
          <w:bCs/>
          <w:color w:val="4C94D8" w:themeColor="text2" w:themeTint="80"/>
        </w:rPr>
        <w:lastRenderedPageBreak/>
        <w:t>Nacha quote from New Rules section</w:t>
      </w:r>
      <w:r>
        <w:rPr>
          <w:rFonts w:ascii="Arial" w:hAnsi="Arial" w:cs="Arial"/>
          <w:b/>
          <w:bCs/>
          <w:color w:val="4C94D8" w:themeColor="text2" w:themeTint="80"/>
        </w:rPr>
        <w:t>:</w:t>
      </w:r>
    </w:p>
    <w:p w14:paraId="35C64D78" w14:textId="77777777" w:rsidR="001F25F6" w:rsidRDefault="001F25F6" w:rsidP="001F25F6">
      <w:pPr>
        <w:spacing w:line="240" w:lineRule="auto"/>
        <w:contextualSpacing/>
        <w:rPr>
          <w:rFonts w:ascii="Arial" w:hAnsi="Arial" w:cs="Arial"/>
          <w:b/>
          <w:bCs/>
          <w:color w:val="4C94D8" w:themeColor="text2" w:themeTint="80"/>
          <w:sz w:val="22"/>
          <w:szCs w:val="22"/>
        </w:rPr>
      </w:pPr>
    </w:p>
    <w:p w14:paraId="50D8BA01" w14:textId="1A8BC530" w:rsidR="001F25F6" w:rsidRDefault="001F25F6" w:rsidP="001F25F6">
      <w:pPr>
        <w:spacing w:line="240" w:lineRule="auto"/>
        <w:contextualSpacing/>
        <w:rPr>
          <w:rFonts w:ascii="Arial" w:hAnsi="Arial" w:cs="Arial"/>
          <w:i/>
          <w:iCs/>
          <w:sz w:val="22"/>
          <w:szCs w:val="22"/>
        </w:rPr>
      </w:pPr>
      <w:r w:rsidRPr="001F25F6">
        <w:rPr>
          <w:rFonts w:ascii="Arial" w:hAnsi="Arial" w:cs="Arial"/>
          <w:i/>
          <w:iCs/>
          <w:sz w:val="22"/>
          <w:szCs w:val="22"/>
        </w:rPr>
        <w:t>“Regular fraud detection monitoring can establish baselines of typical activity, making atypical activity easier to identify.”</w:t>
      </w:r>
    </w:p>
    <w:p w14:paraId="5C969E12" w14:textId="77777777" w:rsidR="001F25F6" w:rsidRDefault="001F25F6" w:rsidP="001F25F6">
      <w:pPr>
        <w:spacing w:line="240" w:lineRule="auto"/>
        <w:contextualSpacing/>
        <w:rPr>
          <w:rFonts w:ascii="Arial" w:hAnsi="Arial" w:cs="Arial"/>
          <w:i/>
          <w:iCs/>
          <w:sz w:val="22"/>
          <w:szCs w:val="22"/>
        </w:rPr>
      </w:pPr>
    </w:p>
    <w:p w14:paraId="0593C35D" w14:textId="55234F51" w:rsidR="001F25F6" w:rsidRDefault="001F25F6" w:rsidP="001F25F6">
      <w:pPr>
        <w:spacing w:line="240" w:lineRule="auto"/>
        <w:contextualSpacing/>
        <w:rPr>
          <w:rFonts w:ascii="Arial" w:hAnsi="Arial" w:cs="Arial"/>
          <w:i/>
          <w:iCs/>
          <w:sz w:val="22"/>
          <w:szCs w:val="22"/>
        </w:rPr>
      </w:pPr>
      <w:r>
        <w:rPr>
          <w:rFonts w:ascii="Arial" w:hAnsi="Arial" w:cs="Arial"/>
          <w:i/>
          <w:iCs/>
          <w:sz w:val="22"/>
          <w:szCs w:val="22"/>
        </w:rPr>
        <w:t>***</w:t>
      </w:r>
    </w:p>
    <w:p w14:paraId="5B385717" w14:textId="77777777" w:rsidR="001F25F6" w:rsidRDefault="001F25F6" w:rsidP="001F25F6">
      <w:pPr>
        <w:spacing w:line="240" w:lineRule="auto"/>
        <w:contextualSpacing/>
        <w:rPr>
          <w:rFonts w:ascii="Arial" w:hAnsi="Arial" w:cs="Arial"/>
          <w:i/>
          <w:iCs/>
          <w:sz w:val="22"/>
          <w:szCs w:val="22"/>
        </w:rPr>
      </w:pPr>
    </w:p>
    <w:p w14:paraId="04E18593" w14:textId="66BE4F79" w:rsidR="001F25F6" w:rsidRPr="001F25F6" w:rsidRDefault="001F25F6" w:rsidP="001F25F6">
      <w:pPr>
        <w:spacing w:line="240" w:lineRule="auto"/>
        <w:contextualSpacing/>
        <w:rPr>
          <w:rFonts w:ascii="Arial" w:hAnsi="Arial" w:cs="Arial"/>
          <w:b/>
          <w:bCs/>
          <w:color w:val="4C94D8" w:themeColor="text2" w:themeTint="80"/>
        </w:rPr>
      </w:pPr>
      <w:r w:rsidRPr="001F25F6">
        <w:rPr>
          <w:rFonts w:ascii="Arial" w:hAnsi="Arial" w:cs="Arial"/>
          <w:b/>
          <w:bCs/>
          <w:color w:val="4C94D8" w:themeColor="text2" w:themeTint="80"/>
        </w:rPr>
        <w:t>Guidance for ODFIs</w:t>
      </w:r>
      <w:r w:rsidR="000C7D13">
        <w:rPr>
          <w:rFonts w:ascii="Arial" w:hAnsi="Arial" w:cs="Arial"/>
          <w:b/>
          <w:bCs/>
          <w:color w:val="4C94D8" w:themeColor="text2" w:themeTint="80"/>
        </w:rPr>
        <w:t xml:space="preserve"> (TPS acting as ODFI)</w:t>
      </w:r>
    </w:p>
    <w:p w14:paraId="29FB1BF7" w14:textId="77777777" w:rsidR="001F25F6" w:rsidRDefault="001F25F6" w:rsidP="00437687">
      <w:pPr>
        <w:spacing w:line="240" w:lineRule="auto"/>
        <w:contextualSpacing/>
        <w:rPr>
          <w:rFonts w:ascii="Arial" w:hAnsi="Arial" w:cs="Arial"/>
          <w:sz w:val="22"/>
          <w:szCs w:val="22"/>
        </w:rPr>
      </w:pPr>
    </w:p>
    <w:p w14:paraId="443B95D9" w14:textId="56858D1C" w:rsidR="00D967B6" w:rsidRDefault="00D967B6" w:rsidP="00437687">
      <w:pPr>
        <w:spacing w:line="240" w:lineRule="auto"/>
        <w:contextualSpacing/>
        <w:rPr>
          <w:rFonts w:ascii="Arial" w:hAnsi="Arial" w:cs="Arial"/>
          <w:sz w:val="22"/>
          <w:szCs w:val="22"/>
        </w:rPr>
      </w:pPr>
      <w:r>
        <w:rPr>
          <w:rFonts w:ascii="Arial" w:hAnsi="Arial" w:cs="Arial"/>
          <w:sz w:val="22"/>
          <w:szCs w:val="22"/>
        </w:rPr>
        <w:t>ODFIs are the most liable ACH participant and should therefore ensure that proper agreements (or chains of) are firmly in place while enforcing the agreement and Nacha Operating Rules with each downstream participant (Originators &amp; TPSs).</w:t>
      </w:r>
    </w:p>
    <w:p w14:paraId="356052B7" w14:textId="77777777" w:rsidR="00D967B6" w:rsidRDefault="00D967B6" w:rsidP="00437687">
      <w:pPr>
        <w:spacing w:line="240" w:lineRule="auto"/>
        <w:contextualSpacing/>
        <w:rPr>
          <w:rFonts w:ascii="Arial" w:hAnsi="Arial" w:cs="Arial"/>
          <w:sz w:val="22"/>
          <w:szCs w:val="22"/>
        </w:rPr>
      </w:pPr>
    </w:p>
    <w:p w14:paraId="227A774E" w14:textId="59E5BBF7" w:rsidR="00D967B6" w:rsidRPr="00D967B6" w:rsidRDefault="00D967B6" w:rsidP="00437687">
      <w:pPr>
        <w:spacing w:line="240" w:lineRule="auto"/>
        <w:contextualSpacing/>
        <w:rPr>
          <w:rFonts w:ascii="Arial" w:hAnsi="Arial" w:cs="Arial"/>
          <w:b/>
          <w:bCs/>
          <w:sz w:val="22"/>
          <w:szCs w:val="22"/>
        </w:rPr>
      </w:pPr>
      <w:r w:rsidRPr="00D967B6">
        <w:rPr>
          <w:rFonts w:ascii="Arial" w:hAnsi="Arial" w:cs="Arial"/>
          <w:b/>
          <w:bCs/>
          <w:sz w:val="22"/>
          <w:szCs w:val="22"/>
        </w:rPr>
        <w:t>ODFI with Originator(s)</w:t>
      </w:r>
    </w:p>
    <w:p w14:paraId="51293FF5" w14:textId="14A505EA" w:rsidR="001F25F6" w:rsidRDefault="00D967B6" w:rsidP="00437687">
      <w:pPr>
        <w:spacing w:line="240" w:lineRule="auto"/>
        <w:contextualSpacing/>
        <w:rPr>
          <w:rFonts w:ascii="Arial" w:hAnsi="Arial" w:cs="Arial"/>
          <w:sz w:val="22"/>
          <w:szCs w:val="22"/>
        </w:rPr>
      </w:pPr>
      <w:r w:rsidRPr="00D967B6">
        <w:rPr>
          <w:rFonts w:ascii="Arial" w:hAnsi="Arial" w:cs="Arial"/>
          <w:noProof/>
          <w:sz w:val="22"/>
          <w:szCs w:val="22"/>
        </w:rPr>
        <w:drawing>
          <wp:inline distT="0" distB="0" distL="0" distR="0" wp14:anchorId="19E08F58" wp14:editId="22740EB0">
            <wp:extent cx="1689100" cy="790928"/>
            <wp:effectExtent l="0" t="0" r="6350" b="9525"/>
            <wp:docPr id="2107282327" name="Picture 1" descr="A couple of arrows with a paper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82327" name="Picture 1" descr="A couple of arrows with a paper and a note&#10;&#10;AI-generated content may be incorrect."/>
                    <pic:cNvPicPr/>
                  </pic:nvPicPr>
                  <pic:blipFill>
                    <a:blip r:embed="rId8"/>
                    <a:stretch>
                      <a:fillRect/>
                    </a:stretch>
                  </pic:blipFill>
                  <pic:spPr>
                    <a:xfrm>
                      <a:off x="0" y="0"/>
                      <a:ext cx="1702720" cy="797306"/>
                    </a:xfrm>
                    <a:prstGeom prst="rect">
                      <a:avLst/>
                    </a:prstGeom>
                  </pic:spPr>
                </pic:pic>
              </a:graphicData>
            </a:graphic>
          </wp:inline>
        </w:drawing>
      </w:r>
    </w:p>
    <w:p w14:paraId="18013446" w14:textId="77777777" w:rsidR="00D967B6" w:rsidRDefault="00D967B6" w:rsidP="00437687">
      <w:pPr>
        <w:spacing w:line="240" w:lineRule="auto"/>
        <w:contextualSpacing/>
        <w:rPr>
          <w:rFonts w:ascii="Arial" w:hAnsi="Arial" w:cs="Arial"/>
          <w:sz w:val="22"/>
          <w:szCs w:val="22"/>
        </w:rPr>
      </w:pPr>
    </w:p>
    <w:p w14:paraId="6F8FD1BB" w14:textId="6A1C22CE" w:rsidR="00D967B6" w:rsidRPr="00D967B6" w:rsidRDefault="00D967B6" w:rsidP="00437687">
      <w:pPr>
        <w:spacing w:line="240" w:lineRule="auto"/>
        <w:contextualSpacing/>
        <w:rPr>
          <w:rFonts w:ascii="Arial" w:hAnsi="Arial" w:cs="Arial"/>
          <w:b/>
          <w:bCs/>
          <w:sz w:val="22"/>
          <w:szCs w:val="22"/>
        </w:rPr>
      </w:pPr>
      <w:r w:rsidRPr="00D967B6">
        <w:rPr>
          <w:rFonts w:ascii="Arial" w:hAnsi="Arial" w:cs="Arial"/>
          <w:b/>
          <w:bCs/>
          <w:sz w:val="22"/>
          <w:szCs w:val="22"/>
        </w:rPr>
        <w:t>ODFI with Third-Party Sender(s) &amp; Originator(s)</w:t>
      </w:r>
    </w:p>
    <w:p w14:paraId="6B020316" w14:textId="77777777" w:rsidR="00D967B6" w:rsidRDefault="00D967B6" w:rsidP="00437687">
      <w:pPr>
        <w:spacing w:line="240" w:lineRule="auto"/>
        <w:contextualSpacing/>
        <w:rPr>
          <w:rFonts w:ascii="Arial" w:hAnsi="Arial" w:cs="Arial"/>
          <w:sz w:val="22"/>
          <w:szCs w:val="22"/>
        </w:rPr>
      </w:pPr>
    </w:p>
    <w:p w14:paraId="1610E993" w14:textId="42E64A7A" w:rsidR="00D967B6" w:rsidRDefault="00D967B6" w:rsidP="00437687">
      <w:pPr>
        <w:spacing w:line="240" w:lineRule="auto"/>
        <w:contextualSpacing/>
        <w:rPr>
          <w:rFonts w:ascii="Arial" w:hAnsi="Arial" w:cs="Arial"/>
          <w:sz w:val="22"/>
          <w:szCs w:val="22"/>
        </w:rPr>
      </w:pPr>
      <w:r w:rsidRPr="00D967B6">
        <w:rPr>
          <w:rFonts w:ascii="Arial" w:hAnsi="Arial" w:cs="Arial"/>
          <w:noProof/>
          <w:sz w:val="22"/>
          <w:szCs w:val="22"/>
        </w:rPr>
        <w:drawing>
          <wp:inline distT="0" distB="0" distL="0" distR="0" wp14:anchorId="17C40F2D" wp14:editId="1BB1DF03">
            <wp:extent cx="2931664" cy="457200"/>
            <wp:effectExtent l="0" t="0" r="2540" b="0"/>
            <wp:docPr id="1286622339" name="Picture 1" descr="A group of people with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22339" name="Picture 1" descr="A group of people with arrows&#10;&#10;AI-generated content may be incorrect."/>
                    <pic:cNvPicPr/>
                  </pic:nvPicPr>
                  <pic:blipFill>
                    <a:blip r:embed="rId9"/>
                    <a:stretch>
                      <a:fillRect/>
                    </a:stretch>
                  </pic:blipFill>
                  <pic:spPr>
                    <a:xfrm>
                      <a:off x="0" y="0"/>
                      <a:ext cx="2942740" cy="458927"/>
                    </a:xfrm>
                    <a:prstGeom prst="rect">
                      <a:avLst/>
                    </a:prstGeom>
                  </pic:spPr>
                </pic:pic>
              </a:graphicData>
            </a:graphic>
          </wp:inline>
        </w:drawing>
      </w:r>
    </w:p>
    <w:p w14:paraId="34BB09A4" w14:textId="77777777" w:rsidR="00D967B6" w:rsidRDefault="00D967B6" w:rsidP="00437687">
      <w:pPr>
        <w:spacing w:line="240" w:lineRule="auto"/>
        <w:contextualSpacing/>
        <w:rPr>
          <w:rFonts w:ascii="Arial" w:hAnsi="Arial" w:cs="Arial"/>
          <w:sz w:val="22"/>
          <w:szCs w:val="22"/>
        </w:rPr>
      </w:pPr>
    </w:p>
    <w:p w14:paraId="770DA5B4" w14:textId="0841F4CB" w:rsidR="00D967B6" w:rsidRPr="00D967B6" w:rsidRDefault="00D967B6" w:rsidP="00437687">
      <w:pPr>
        <w:spacing w:line="240" w:lineRule="auto"/>
        <w:contextualSpacing/>
        <w:rPr>
          <w:rFonts w:ascii="Arial" w:hAnsi="Arial" w:cs="Arial"/>
          <w:b/>
          <w:bCs/>
          <w:sz w:val="22"/>
          <w:szCs w:val="22"/>
        </w:rPr>
      </w:pPr>
      <w:r w:rsidRPr="00D967B6">
        <w:rPr>
          <w:rFonts w:ascii="Arial" w:hAnsi="Arial" w:cs="Arial"/>
          <w:b/>
          <w:bCs/>
          <w:sz w:val="22"/>
          <w:szCs w:val="22"/>
        </w:rPr>
        <w:t>Agreement and Rules Compliance Monitoring</w:t>
      </w:r>
    </w:p>
    <w:p w14:paraId="3498DA42" w14:textId="1AEEE8B0" w:rsidR="00D967B6" w:rsidRPr="00D967B6" w:rsidRDefault="00D967B6" w:rsidP="00D967B6">
      <w:pPr>
        <w:pStyle w:val="ListParagraph"/>
        <w:numPr>
          <w:ilvl w:val="0"/>
          <w:numId w:val="9"/>
        </w:numPr>
        <w:spacing w:line="240" w:lineRule="auto"/>
        <w:rPr>
          <w:rFonts w:ascii="Arial" w:hAnsi="Arial" w:cs="Arial"/>
          <w:sz w:val="22"/>
          <w:szCs w:val="22"/>
          <w:u w:val="single"/>
        </w:rPr>
      </w:pPr>
      <w:r w:rsidRPr="00D967B6">
        <w:rPr>
          <w:rFonts w:ascii="Arial" w:hAnsi="Arial" w:cs="Arial"/>
          <w:sz w:val="22"/>
          <w:szCs w:val="22"/>
          <w:u w:val="single"/>
        </w:rPr>
        <w:t>Originators – Subsection 2.2.2.1</w:t>
      </w:r>
    </w:p>
    <w:p w14:paraId="6C4D1E01" w14:textId="71E1CE2F" w:rsidR="00D967B6" w:rsidRPr="00187326" w:rsidRDefault="00D967B6" w:rsidP="00D967B6">
      <w:pPr>
        <w:pStyle w:val="ListParagraph"/>
        <w:numPr>
          <w:ilvl w:val="1"/>
          <w:numId w:val="9"/>
        </w:numPr>
        <w:spacing w:line="240" w:lineRule="auto"/>
        <w:rPr>
          <w:rFonts w:ascii="Arial" w:hAnsi="Arial" w:cs="Arial"/>
          <w:sz w:val="20"/>
          <w:szCs w:val="20"/>
        </w:rPr>
      </w:pPr>
      <w:r w:rsidRPr="00187326">
        <w:rPr>
          <w:rFonts w:ascii="Arial" w:hAnsi="Arial" w:cs="Arial"/>
          <w:sz w:val="20"/>
          <w:szCs w:val="20"/>
        </w:rPr>
        <w:t>Originator must agree to be found by the Rules</w:t>
      </w:r>
    </w:p>
    <w:p w14:paraId="37F431EC" w14:textId="4227306C" w:rsidR="00D967B6" w:rsidRPr="00187326" w:rsidRDefault="00D967B6" w:rsidP="00D967B6">
      <w:pPr>
        <w:pStyle w:val="ListParagraph"/>
        <w:numPr>
          <w:ilvl w:val="1"/>
          <w:numId w:val="9"/>
        </w:numPr>
        <w:spacing w:line="240" w:lineRule="auto"/>
        <w:rPr>
          <w:rFonts w:ascii="Arial" w:hAnsi="Arial" w:cs="Arial"/>
          <w:sz w:val="20"/>
          <w:szCs w:val="20"/>
        </w:rPr>
      </w:pPr>
      <w:r w:rsidRPr="00187326">
        <w:rPr>
          <w:rFonts w:ascii="Arial" w:hAnsi="Arial" w:cs="Arial"/>
          <w:sz w:val="20"/>
          <w:szCs w:val="20"/>
        </w:rPr>
        <w:t>Right of ODFI to audit Originator’s compliance with the Origination Agreement and the Rules</w:t>
      </w:r>
    </w:p>
    <w:p w14:paraId="3D1FEA01" w14:textId="449B30A3" w:rsidR="00D967B6" w:rsidRPr="00187326" w:rsidRDefault="00D967B6" w:rsidP="00D967B6">
      <w:pPr>
        <w:pStyle w:val="ListParagraph"/>
        <w:numPr>
          <w:ilvl w:val="1"/>
          <w:numId w:val="9"/>
        </w:numPr>
        <w:spacing w:line="240" w:lineRule="auto"/>
        <w:rPr>
          <w:rFonts w:ascii="Arial" w:hAnsi="Arial" w:cs="Arial"/>
          <w:sz w:val="20"/>
          <w:szCs w:val="20"/>
        </w:rPr>
      </w:pPr>
      <w:r w:rsidRPr="00187326">
        <w:rPr>
          <w:rFonts w:ascii="Arial" w:hAnsi="Arial" w:cs="Arial"/>
          <w:sz w:val="20"/>
          <w:szCs w:val="20"/>
        </w:rPr>
        <w:t>Right of ODFI to terminate/suspend the agreement for breach of the rules</w:t>
      </w:r>
    </w:p>
    <w:p w14:paraId="3E24E003" w14:textId="3144EA4C" w:rsidR="00D967B6" w:rsidRPr="00187326" w:rsidRDefault="00D967B6" w:rsidP="00D967B6">
      <w:pPr>
        <w:pStyle w:val="ListParagraph"/>
        <w:numPr>
          <w:ilvl w:val="0"/>
          <w:numId w:val="9"/>
        </w:numPr>
        <w:spacing w:line="240" w:lineRule="auto"/>
        <w:rPr>
          <w:rFonts w:ascii="Arial" w:hAnsi="Arial" w:cs="Arial"/>
          <w:sz w:val="22"/>
          <w:szCs w:val="22"/>
          <w:u w:val="single"/>
        </w:rPr>
      </w:pPr>
      <w:r w:rsidRPr="00187326">
        <w:rPr>
          <w:rFonts w:ascii="Arial" w:hAnsi="Arial" w:cs="Arial"/>
          <w:sz w:val="22"/>
          <w:szCs w:val="22"/>
          <w:u w:val="single"/>
        </w:rPr>
        <w:t>Third-Party Senders – Subsection 2.2.2.2</w:t>
      </w:r>
    </w:p>
    <w:p w14:paraId="2F0F1086" w14:textId="15B73FBA" w:rsidR="00D967B6" w:rsidRPr="00187326" w:rsidRDefault="00187326" w:rsidP="00D967B6">
      <w:pPr>
        <w:pStyle w:val="ListParagraph"/>
        <w:numPr>
          <w:ilvl w:val="1"/>
          <w:numId w:val="9"/>
        </w:numPr>
        <w:spacing w:line="240" w:lineRule="auto"/>
        <w:rPr>
          <w:rFonts w:ascii="Arial" w:hAnsi="Arial" w:cs="Arial"/>
          <w:sz w:val="20"/>
          <w:szCs w:val="20"/>
        </w:rPr>
      </w:pPr>
      <w:r w:rsidRPr="00187326">
        <w:rPr>
          <w:rFonts w:ascii="Arial" w:hAnsi="Arial" w:cs="Arial"/>
          <w:sz w:val="20"/>
          <w:szCs w:val="20"/>
        </w:rPr>
        <w:t>TPS must agree to be bound by the Rules</w:t>
      </w:r>
    </w:p>
    <w:p w14:paraId="5820C396" w14:textId="3CAE662D" w:rsidR="00187326" w:rsidRDefault="00187326" w:rsidP="00D967B6">
      <w:pPr>
        <w:pStyle w:val="ListParagraph"/>
        <w:numPr>
          <w:ilvl w:val="1"/>
          <w:numId w:val="9"/>
        </w:numPr>
        <w:spacing w:line="240" w:lineRule="auto"/>
        <w:rPr>
          <w:rFonts w:ascii="Arial" w:hAnsi="Arial" w:cs="Arial"/>
          <w:sz w:val="20"/>
          <w:szCs w:val="20"/>
        </w:rPr>
      </w:pPr>
      <w:r w:rsidRPr="00187326">
        <w:rPr>
          <w:rFonts w:ascii="Arial" w:hAnsi="Arial" w:cs="Arial"/>
          <w:sz w:val="20"/>
          <w:szCs w:val="20"/>
        </w:rPr>
        <w:t>Right of ODF</w:t>
      </w:r>
      <w:r>
        <w:rPr>
          <w:rFonts w:ascii="Arial" w:hAnsi="Arial" w:cs="Arial"/>
          <w:sz w:val="20"/>
          <w:szCs w:val="20"/>
        </w:rPr>
        <w:t xml:space="preserve">I </w:t>
      </w:r>
      <w:r w:rsidRPr="00187326">
        <w:rPr>
          <w:rFonts w:ascii="Arial" w:hAnsi="Arial" w:cs="Arial"/>
          <w:sz w:val="20"/>
          <w:szCs w:val="20"/>
        </w:rPr>
        <w:t>to audit the compliance with the Origination Agreement and the rules by the TPS, any Nested TPS, or their respective</w:t>
      </w:r>
      <w:r>
        <w:rPr>
          <w:rFonts w:ascii="Arial" w:hAnsi="Arial" w:cs="Arial"/>
          <w:sz w:val="20"/>
          <w:szCs w:val="20"/>
        </w:rPr>
        <w:t xml:space="preserve"> Originators</w:t>
      </w:r>
    </w:p>
    <w:p w14:paraId="7417DBD1" w14:textId="66D6B15D" w:rsidR="00187326" w:rsidRDefault="00187326" w:rsidP="00D967B6">
      <w:pPr>
        <w:pStyle w:val="ListParagraph"/>
        <w:numPr>
          <w:ilvl w:val="1"/>
          <w:numId w:val="9"/>
        </w:numPr>
        <w:spacing w:line="240" w:lineRule="auto"/>
        <w:rPr>
          <w:rFonts w:ascii="Arial" w:hAnsi="Arial" w:cs="Arial"/>
          <w:sz w:val="20"/>
          <w:szCs w:val="20"/>
        </w:rPr>
      </w:pPr>
      <w:r>
        <w:rPr>
          <w:rFonts w:ascii="Arial" w:hAnsi="Arial" w:cs="Arial"/>
          <w:sz w:val="20"/>
          <w:szCs w:val="20"/>
        </w:rPr>
        <w:t>Right of ODFI to terminate/suspend the agreement, or any Originator or Nested TPS of the TPS for breach of Rules</w:t>
      </w:r>
    </w:p>
    <w:p w14:paraId="7855ECE4" w14:textId="3780FC30" w:rsidR="006A26FA" w:rsidRDefault="00187326" w:rsidP="006A26FA">
      <w:pPr>
        <w:pStyle w:val="ListParagraph"/>
        <w:numPr>
          <w:ilvl w:val="1"/>
          <w:numId w:val="9"/>
        </w:numPr>
        <w:spacing w:line="240" w:lineRule="auto"/>
        <w:rPr>
          <w:rFonts w:ascii="Arial" w:hAnsi="Arial" w:cs="Arial"/>
          <w:sz w:val="20"/>
          <w:szCs w:val="20"/>
        </w:rPr>
      </w:pPr>
      <w:r>
        <w:rPr>
          <w:rFonts w:ascii="Arial" w:hAnsi="Arial" w:cs="Arial"/>
          <w:sz w:val="20"/>
          <w:szCs w:val="20"/>
        </w:rPr>
        <w:t>Requires TPS to enter into agreements with Nested TPS</w:t>
      </w:r>
      <w:r w:rsidR="006A26FA">
        <w:rPr>
          <w:rFonts w:ascii="Arial" w:hAnsi="Arial" w:cs="Arial"/>
          <w:sz w:val="20"/>
          <w:szCs w:val="20"/>
        </w:rPr>
        <w:t>(s) and Originator(s) as well as compliance responsibilities</w:t>
      </w:r>
    </w:p>
    <w:p w14:paraId="3C509C1B" w14:textId="77777777" w:rsidR="006A26FA" w:rsidRDefault="006A26FA" w:rsidP="006A26FA">
      <w:pPr>
        <w:spacing w:line="240" w:lineRule="auto"/>
        <w:rPr>
          <w:rFonts w:ascii="Arial" w:hAnsi="Arial" w:cs="Arial"/>
          <w:sz w:val="20"/>
          <w:szCs w:val="20"/>
        </w:rPr>
      </w:pPr>
    </w:p>
    <w:p w14:paraId="0A4DF902" w14:textId="484705DB" w:rsidR="006A26FA" w:rsidRPr="000C7D13" w:rsidRDefault="000C7D13" w:rsidP="006A26FA">
      <w:pPr>
        <w:spacing w:line="240" w:lineRule="auto"/>
        <w:rPr>
          <w:rFonts w:ascii="Arial" w:hAnsi="Arial" w:cs="Arial"/>
          <w:b/>
          <w:bCs/>
          <w:color w:val="4C94D8" w:themeColor="text2" w:themeTint="80"/>
        </w:rPr>
      </w:pPr>
      <w:r w:rsidRPr="000C7D13">
        <w:rPr>
          <w:rFonts w:ascii="Arial" w:hAnsi="Arial" w:cs="Arial"/>
          <w:b/>
          <w:bCs/>
          <w:color w:val="4C94D8" w:themeColor="text2" w:themeTint="80"/>
        </w:rPr>
        <w:t>Auditing an Originator/TPS for 2026 Rules Compliance</w:t>
      </w:r>
      <w:r>
        <w:rPr>
          <w:rFonts w:ascii="Arial" w:hAnsi="Arial" w:cs="Arial"/>
          <w:b/>
          <w:bCs/>
          <w:color w:val="4C94D8" w:themeColor="text2" w:themeTint="80"/>
        </w:rPr>
        <w:t>:</w:t>
      </w:r>
    </w:p>
    <w:p w14:paraId="6D415604" w14:textId="311828F9" w:rsidR="000C7D13" w:rsidRDefault="000C7D13" w:rsidP="000C7D13">
      <w:pPr>
        <w:pStyle w:val="ListParagraph"/>
        <w:numPr>
          <w:ilvl w:val="0"/>
          <w:numId w:val="10"/>
        </w:numPr>
        <w:spacing w:line="240" w:lineRule="auto"/>
        <w:rPr>
          <w:rFonts w:ascii="Arial" w:hAnsi="Arial" w:cs="Arial"/>
          <w:sz w:val="20"/>
          <w:szCs w:val="20"/>
        </w:rPr>
      </w:pPr>
      <w:r>
        <w:rPr>
          <w:rFonts w:ascii="Arial" w:hAnsi="Arial" w:cs="Arial"/>
          <w:sz w:val="20"/>
          <w:szCs w:val="20"/>
        </w:rPr>
        <w:t>Ensure TPS has proper agreements in place for Nested TPS(s) and Originators(s), along with ensuring compliance to agreements &amp; Rules.</w:t>
      </w:r>
    </w:p>
    <w:p w14:paraId="5FF5EAC0" w14:textId="33225A85" w:rsidR="000C7D13" w:rsidRDefault="000C7D13" w:rsidP="000C7D13">
      <w:pPr>
        <w:pStyle w:val="ListParagraph"/>
        <w:numPr>
          <w:ilvl w:val="0"/>
          <w:numId w:val="10"/>
        </w:numPr>
        <w:spacing w:line="240" w:lineRule="auto"/>
        <w:rPr>
          <w:rFonts w:ascii="Arial" w:hAnsi="Arial" w:cs="Arial"/>
          <w:sz w:val="20"/>
          <w:szCs w:val="20"/>
        </w:rPr>
      </w:pPr>
      <w:r>
        <w:rPr>
          <w:rFonts w:ascii="Arial" w:hAnsi="Arial" w:cs="Arial"/>
          <w:sz w:val="20"/>
          <w:szCs w:val="20"/>
        </w:rPr>
        <w:t>Originator is using secure/encrypted transmissions of account info with Receiver (Section 1.7)</w:t>
      </w:r>
    </w:p>
    <w:p w14:paraId="109E92F7" w14:textId="4F82363F" w:rsidR="000C7D13" w:rsidRDefault="000C7D13" w:rsidP="000C7D13">
      <w:pPr>
        <w:pStyle w:val="ListParagraph"/>
        <w:numPr>
          <w:ilvl w:val="0"/>
          <w:numId w:val="10"/>
        </w:numPr>
        <w:spacing w:line="240" w:lineRule="auto"/>
        <w:rPr>
          <w:rFonts w:ascii="Arial" w:hAnsi="Arial" w:cs="Arial"/>
          <w:sz w:val="20"/>
          <w:szCs w:val="20"/>
        </w:rPr>
      </w:pPr>
      <w:r>
        <w:rPr>
          <w:rFonts w:ascii="Arial" w:hAnsi="Arial" w:cs="Arial"/>
          <w:sz w:val="20"/>
          <w:szCs w:val="20"/>
        </w:rPr>
        <w:t>Originator obtains authorization from Receivers that comply with legal requirements (Subsection 2.3.1)</w:t>
      </w:r>
    </w:p>
    <w:p w14:paraId="18F66927" w14:textId="35205FDA" w:rsidR="000C7D13" w:rsidRDefault="000C7D13" w:rsidP="000C7D13">
      <w:pPr>
        <w:pStyle w:val="ListParagraph"/>
        <w:numPr>
          <w:ilvl w:val="0"/>
          <w:numId w:val="10"/>
        </w:numPr>
        <w:spacing w:line="240" w:lineRule="auto"/>
        <w:rPr>
          <w:rFonts w:ascii="Arial" w:hAnsi="Arial" w:cs="Arial"/>
          <w:sz w:val="20"/>
          <w:szCs w:val="20"/>
        </w:rPr>
      </w:pPr>
      <w:r>
        <w:rPr>
          <w:rFonts w:ascii="Arial" w:hAnsi="Arial" w:cs="Arial"/>
          <w:sz w:val="20"/>
          <w:szCs w:val="20"/>
        </w:rPr>
        <w:t>Originator retains authorization within 2 years of termination or revocation (Subsection 2.3.2.7)</w:t>
      </w:r>
    </w:p>
    <w:p w14:paraId="0FA72583" w14:textId="0B6B16D8" w:rsidR="000C7D13" w:rsidRDefault="000C7D13" w:rsidP="000C7D13">
      <w:pPr>
        <w:pStyle w:val="ListParagraph"/>
        <w:numPr>
          <w:ilvl w:val="0"/>
          <w:numId w:val="10"/>
        </w:numPr>
        <w:spacing w:line="240" w:lineRule="auto"/>
        <w:rPr>
          <w:rFonts w:ascii="Arial" w:hAnsi="Arial" w:cs="Arial"/>
          <w:sz w:val="20"/>
          <w:szCs w:val="20"/>
        </w:rPr>
      </w:pPr>
      <w:r>
        <w:rPr>
          <w:rFonts w:ascii="Arial" w:hAnsi="Arial" w:cs="Arial"/>
          <w:sz w:val="20"/>
          <w:szCs w:val="20"/>
        </w:rPr>
        <w:t>Originator/TPS has established and implemented risk-based process and procedure (2026 rules) + reviewed annually</w:t>
      </w:r>
    </w:p>
    <w:p w14:paraId="1B03ED1D" w14:textId="42953D95" w:rsidR="000C7D13" w:rsidRPr="002F29E2" w:rsidRDefault="002F29E2" w:rsidP="002F29E2">
      <w:pPr>
        <w:spacing w:line="240" w:lineRule="auto"/>
        <w:contextualSpacing/>
        <w:rPr>
          <w:rFonts w:ascii="Arial" w:hAnsi="Arial" w:cs="Arial"/>
          <w:b/>
          <w:bCs/>
        </w:rPr>
      </w:pPr>
      <w:r w:rsidRPr="002F29E2">
        <w:rPr>
          <w:rFonts w:ascii="Arial" w:hAnsi="Arial" w:cs="Arial"/>
          <w:b/>
          <w:bCs/>
          <w:color w:val="4C94D8" w:themeColor="text2" w:themeTint="80"/>
        </w:rPr>
        <w:t>ODFI Risk-Based Processes &amp; Procedures</w:t>
      </w:r>
    </w:p>
    <w:p w14:paraId="26D1E5CB" w14:textId="77777777" w:rsidR="002F29E2" w:rsidRDefault="002F29E2" w:rsidP="002F29E2">
      <w:pPr>
        <w:spacing w:line="240" w:lineRule="auto"/>
        <w:contextualSpacing/>
        <w:rPr>
          <w:rFonts w:ascii="Arial" w:hAnsi="Arial" w:cs="Arial"/>
          <w:sz w:val="20"/>
          <w:szCs w:val="20"/>
        </w:rPr>
      </w:pPr>
    </w:p>
    <w:p w14:paraId="3BE2D2AF" w14:textId="1487150B" w:rsidR="002F29E2" w:rsidRDefault="002F29E2" w:rsidP="002F29E2">
      <w:pPr>
        <w:spacing w:line="240" w:lineRule="auto"/>
        <w:contextualSpacing/>
        <w:rPr>
          <w:rFonts w:ascii="Arial" w:hAnsi="Arial" w:cs="Arial"/>
          <w:sz w:val="20"/>
          <w:szCs w:val="20"/>
        </w:rPr>
      </w:pPr>
      <w:r>
        <w:rPr>
          <w:rFonts w:ascii="Arial" w:hAnsi="Arial" w:cs="Arial"/>
          <w:sz w:val="20"/>
          <w:szCs w:val="20"/>
        </w:rPr>
        <w:t xml:space="preserve">ODFI should consider its own risk profile while considering the size and quantity of its Originators/TPS for establishing their own risk-based processes and procedures.  </w:t>
      </w:r>
    </w:p>
    <w:p w14:paraId="16B98780" w14:textId="77777777" w:rsidR="002F29E2" w:rsidRDefault="002F29E2" w:rsidP="002F29E2">
      <w:pPr>
        <w:spacing w:line="240" w:lineRule="auto"/>
        <w:contextualSpacing/>
        <w:rPr>
          <w:rFonts w:ascii="Arial" w:hAnsi="Arial" w:cs="Arial"/>
          <w:sz w:val="20"/>
          <w:szCs w:val="20"/>
        </w:rPr>
      </w:pPr>
    </w:p>
    <w:p w14:paraId="3A46A735" w14:textId="3BF0ACBD" w:rsidR="002F29E2" w:rsidRDefault="003739FE" w:rsidP="002F29E2">
      <w:pPr>
        <w:spacing w:line="240" w:lineRule="auto"/>
        <w:contextualSpacing/>
        <w:rPr>
          <w:rFonts w:ascii="Arial" w:hAnsi="Arial" w:cs="Arial"/>
          <w:sz w:val="20"/>
          <w:szCs w:val="20"/>
        </w:rPr>
      </w:pPr>
      <w:r>
        <w:rPr>
          <w:rFonts w:ascii="Arial" w:hAnsi="Arial" w:cs="Arial"/>
          <w:sz w:val="20"/>
          <w:szCs w:val="20"/>
        </w:rPr>
        <w:t>Red flags</w:t>
      </w:r>
      <w:r w:rsidR="002F29E2">
        <w:rPr>
          <w:rFonts w:ascii="Arial" w:hAnsi="Arial" w:cs="Arial"/>
          <w:sz w:val="20"/>
          <w:szCs w:val="20"/>
        </w:rPr>
        <w:t xml:space="preserve"> for an ODFI to consider reviewing with their risk-based processes and/or procedures:</w:t>
      </w:r>
    </w:p>
    <w:p w14:paraId="66F0D8F1" w14:textId="2E12DABA" w:rsidR="002F29E2" w:rsidRDefault="002F29E2" w:rsidP="002F29E2">
      <w:pPr>
        <w:pStyle w:val="ListParagraph"/>
        <w:numPr>
          <w:ilvl w:val="0"/>
          <w:numId w:val="11"/>
        </w:numPr>
        <w:spacing w:line="240" w:lineRule="auto"/>
        <w:rPr>
          <w:rFonts w:ascii="Arial" w:hAnsi="Arial" w:cs="Arial"/>
          <w:sz w:val="20"/>
          <w:szCs w:val="20"/>
        </w:rPr>
      </w:pPr>
      <w:r>
        <w:rPr>
          <w:rFonts w:ascii="Arial" w:hAnsi="Arial" w:cs="Arial"/>
          <w:sz w:val="20"/>
          <w:szCs w:val="20"/>
        </w:rPr>
        <w:t>Pattern of activity from Originators/TPSs</w:t>
      </w:r>
    </w:p>
    <w:p w14:paraId="3E7996B8" w14:textId="3DDD948F" w:rsidR="002F29E2" w:rsidRDefault="002F29E2" w:rsidP="002F29E2">
      <w:pPr>
        <w:pStyle w:val="ListParagraph"/>
        <w:numPr>
          <w:ilvl w:val="0"/>
          <w:numId w:val="11"/>
        </w:numPr>
        <w:spacing w:line="240" w:lineRule="auto"/>
        <w:rPr>
          <w:rFonts w:ascii="Arial" w:hAnsi="Arial" w:cs="Arial"/>
          <w:sz w:val="20"/>
          <w:szCs w:val="20"/>
        </w:rPr>
      </w:pPr>
      <w:r>
        <w:rPr>
          <w:rFonts w:ascii="Arial" w:hAnsi="Arial" w:cs="Arial"/>
          <w:sz w:val="20"/>
          <w:szCs w:val="20"/>
        </w:rPr>
        <w:t>New account # and RTN pair never used before</w:t>
      </w:r>
    </w:p>
    <w:p w14:paraId="1F4CB9C0" w14:textId="7DCE777C" w:rsidR="002F29E2" w:rsidRDefault="002F29E2" w:rsidP="002F29E2">
      <w:pPr>
        <w:pStyle w:val="ListParagraph"/>
        <w:numPr>
          <w:ilvl w:val="0"/>
          <w:numId w:val="11"/>
        </w:numPr>
        <w:spacing w:line="240" w:lineRule="auto"/>
        <w:rPr>
          <w:rFonts w:ascii="Arial" w:hAnsi="Arial" w:cs="Arial"/>
          <w:sz w:val="20"/>
          <w:szCs w:val="20"/>
        </w:rPr>
      </w:pPr>
      <w:r>
        <w:rPr>
          <w:rFonts w:ascii="Arial" w:hAnsi="Arial" w:cs="Arial"/>
          <w:sz w:val="20"/>
          <w:szCs w:val="20"/>
        </w:rPr>
        <w:t>Same Receiver name but new account/RTN</w:t>
      </w:r>
    </w:p>
    <w:p w14:paraId="24C64BDD" w14:textId="6FCCF7FA" w:rsidR="002F29E2" w:rsidRDefault="002F29E2" w:rsidP="002F29E2">
      <w:pPr>
        <w:pStyle w:val="ListParagraph"/>
        <w:numPr>
          <w:ilvl w:val="0"/>
          <w:numId w:val="11"/>
        </w:numPr>
        <w:spacing w:line="240" w:lineRule="auto"/>
        <w:rPr>
          <w:rFonts w:ascii="Arial" w:hAnsi="Arial" w:cs="Arial"/>
          <w:sz w:val="20"/>
          <w:szCs w:val="20"/>
        </w:rPr>
      </w:pPr>
      <w:r>
        <w:rPr>
          <w:rFonts w:ascii="Arial" w:hAnsi="Arial" w:cs="Arial"/>
          <w:sz w:val="20"/>
          <w:szCs w:val="20"/>
        </w:rPr>
        <w:t xml:space="preserve">Unusual </w:t>
      </w:r>
      <w:r w:rsidR="003739FE">
        <w:rPr>
          <w:rFonts w:ascii="Arial" w:hAnsi="Arial" w:cs="Arial"/>
          <w:sz w:val="20"/>
          <w:szCs w:val="20"/>
        </w:rPr>
        <w:t xml:space="preserve">use of </w:t>
      </w:r>
      <w:r>
        <w:rPr>
          <w:rFonts w:ascii="Arial" w:hAnsi="Arial" w:cs="Arial"/>
          <w:sz w:val="20"/>
          <w:szCs w:val="20"/>
        </w:rPr>
        <w:t xml:space="preserve">SEC </w:t>
      </w:r>
      <w:r w:rsidR="003739FE">
        <w:rPr>
          <w:rFonts w:ascii="Arial" w:hAnsi="Arial" w:cs="Arial"/>
          <w:sz w:val="20"/>
          <w:szCs w:val="20"/>
        </w:rPr>
        <w:t xml:space="preserve">Codes </w:t>
      </w:r>
      <w:r>
        <w:rPr>
          <w:rFonts w:ascii="Arial" w:hAnsi="Arial" w:cs="Arial"/>
          <w:sz w:val="20"/>
          <w:szCs w:val="20"/>
        </w:rPr>
        <w:t>or $ amounts</w:t>
      </w:r>
    </w:p>
    <w:p w14:paraId="6E7104FC" w14:textId="02F10BEA" w:rsidR="002F29E2" w:rsidRDefault="003739FE" w:rsidP="002F29E2">
      <w:pPr>
        <w:pStyle w:val="ListParagraph"/>
        <w:numPr>
          <w:ilvl w:val="0"/>
          <w:numId w:val="11"/>
        </w:numPr>
        <w:spacing w:line="240" w:lineRule="auto"/>
        <w:rPr>
          <w:rFonts w:ascii="Arial" w:hAnsi="Arial" w:cs="Arial"/>
          <w:sz w:val="20"/>
          <w:szCs w:val="20"/>
        </w:rPr>
      </w:pPr>
      <w:r>
        <w:rPr>
          <w:rFonts w:ascii="Arial" w:hAnsi="Arial" w:cs="Arial"/>
          <w:sz w:val="20"/>
          <w:szCs w:val="20"/>
        </w:rPr>
        <w:t>Sudden spikes or clusters of activity</w:t>
      </w:r>
    </w:p>
    <w:p w14:paraId="0BE6BE3E" w14:textId="589DA37B" w:rsidR="003739FE" w:rsidRDefault="003739FE" w:rsidP="003739FE">
      <w:pPr>
        <w:spacing w:line="240" w:lineRule="auto"/>
        <w:rPr>
          <w:rFonts w:ascii="Arial" w:hAnsi="Arial" w:cs="Arial"/>
          <w:sz w:val="20"/>
          <w:szCs w:val="20"/>
        </w:rPr>
      </w:pPr>
      <w:r>
        <w:rPr>
          <w:rFonts w:ascii="Arial" w:hAnsi="Arial" w:cs="Arial"/>
          <w:sz w:val="20"/>
          <w:szCs w:val="20"/>
        </w:rPr>
        <w:t>Escalate with Originator/TPS:</w:t>
      </w:r>
    </w:p>
    <w:p w14:paraId="2D949A7B" w14:textId="14B93F89" w:rsidR="003739FE" w:rsidRDefault="003739FE" w:rsidP="003739FE">
      <w:pPr>
        <w:pStyle w:val="ListParagraph"/>
        <w:numPr>
          <w:ilvl w:val="0"/>
          <w:numId w:val="12"/>
        </w:numPr>
        <w:spacing w:line="240" w:lineRule="auto"/>
        <w:rPr>
          <w:rFonts w:ascii="Arial" w:hAnsi="Arial" w:cs="Arial"/>
          <w:sz w:val="20"/>
          <w:szCs w:val="20"/>
        </w:rPr>
      </w:pPr>
      <w:r>
        <w:rPr>
          <w:rFonts w:ascii="Arial" w:hAnsi="Arial" w:cs="Arial"/>
          <w:sz w:val="20"/>
          <w:szCs w:val="20"/>
        </w:rPr>
        <w:t>Utilize contact info established from agreement and onboarding, KYC</w:t>
      </w:r>
    </w:p>
    <w:p w14:paraId="708F5528" w14:textId="5A6FAFF5" w:rsidR="003739FE" w:rsidRDefault="003739FE" w:rsidP="003739FE">
      <w:pPr>
        <w:pStyle w:val="ListParagraph"/>
        <w:numPr>
          <w:ilvl w:val="0"/>
          <w:numId w:val="12"/>
        </w:numPr>
        <w:spacing w:line="240" w:lineRule="auto"/>
        <w:rPr>
          <w:rFonts w:ascii="Arial" w:hAnsi="Arial" w:cs="Arial"/>
          <w:sz w:val="20"/>
          <w:szCs w:val="20"/>
        </w:rPr>
      </w:pPr>
      <w:r>
        <w:rPr>
          <w:rFonts w:ascii="Arial" w:hAnsi="Arial" w:cs="Arial"/>
          <w:sz w:val="20"/>
          <w:szCs w:val="20"/>
        </w:rPr>
        <w:t>Consider callback with person other than enterer or submitter</w:t>
      </w:r>
      <w:r w:rsidR="00B3003A">
        <w:rPr>
          <w:rFonts w:ascii="Arial" w:hAnsi="Arial" w:cs="Arial"/>
          <w:sz w:val="20"/>
          <w:szCs w:val="20"/>
        </w:rPr>
        <w:t xml:space="preserve"> (recor</w:t>
      </w:r>
      <w:r w:rsidR="00EF214C">
        <w:rPr>
          <w:rFonts w:ascii="Arial" w:hAnsi="Arial" w:cs="Arial"/>
          <w:sz w:val="20"/>
          <w:szCs w:val="20"/>
        </w:rPr>
        <w:t>d any callbacks?)</w:t>
      </w:r>
    </w:p>
    <w:p w14:paraId="7DECD8DB" w14:textId="5759C59B" w:rsidR="003739FE" w:rsidRDefault="003739FE" w:rsidP="003739FE">
      <w:pPr>
        <w:pStyle w:val="ListParagraph"/>
        <w:numPr>
          <w:ilvl w:val="0"/>
          <w:numId w:val="12"/>
        </w:numPr>
        <w:spacing w:line="240" w:lineRule="auto"/>
        <w:rPr>
          <w:rFonts w:ascii="Arial" w:hAnsi="Arial" w:cs="Arial"/>
          <w:sz w:val="20"/>
          <w:szCs w:val="20"/>
        </w:rPr>
      </w:pPr>
      <w:r>
        <w:rPr>
          <w:rFonts w:ascii="Arial" w:hAnsi="Arial" w:cs="Arial"/>
          <w:sz w:val="20"/>
          <w:szCs w:val="20"/>
        </w:rPr>
        <w:t>Inquire and document how Originator obtained Receiver’s account information</w:t>
      </w:r>
    </w:p>
    <w:p w14:paraId="782D0435" w14:textId="290A496F" w:rsidR="003739FE" w:rsidRDefault="003739FE" w:rsidP="003739FE">
      <w:pPr>
        <w:spacing w:line="240" w:lineRule="auto"/>
        <w:rPr>
          <w:rFonts w:ascii="Arial" w:hAnsi="Arial" w:cs="Arial"/>
          <w:b/>
          <w:bCs/>
          <w:color w:val="4C94D8" w:themeColor="text2" w:themeTint="80"/>
        </w:rPr>
      </w:pPr>
      <w:r w:rsidRPr="003739FE">
        <w:rPr>
          <w:rFonts w:ascii="Arial" w:hAnsi="Arial" w:cs="Arial"/>
          <w:b/>
          <w:bCs/>
          <w:color w:val="4C94D8" w:themeColor="text2" w:themeTint="80"/>
        </w:rPr>
        <w:t>Other ODFI Considerations</w:t>
      </w:r>
    </w:p>
    <w:p w14:paraId="49D5EE7B" w14:textId="314485D1" w:rsidR="003739FE" w:rsidRPr="00003F0E" w:rsidRDefault="003739FE" w:rsidP="003739FE">
      <w:pPr>
        <w:pStyle w:val="ListParagraph"/>
        <w:numPr>
          <w:ilvl w:val="0"/>
          <w:numId w:val="13"/>
        </w:numPr>
        <w:spacing w:line="240" w:lineRule="auto"/>
        <w:rPr>
          <w:rFonts w:ascii="Arial" w:hAnsi="Arial" w:cs="Arial"/>
          <w:sz w:val="22"/>
          <w:szCs w:val="22"/>
        </w:rPr>
      </w:pPr>
      <w:r w:rsidRPr="00003F0E">
        <w:rPr>
          <w:rFonts w:ascii="Arial" w:hAnsi="Arial" w:cs="Arial"/>
          <w:sz w:val="22"/>
          <w:szCs w:val="22"/>
        </w:rPr>
        <w:t>Require dual control</w:t>
      </w:r>
    </w:p>
    <w:p w14:paraId="7D39E421" w14:textId="7BA9CC84" w:rsidR="003739FE" w:rsidRPr="00003F0E" w:rsidRDefault="003739FE" w:rsidP="003739FE">
      <w:pPr>
        <w:pStyle w:val="ListParagraph"/>
        <w:numPr>
          <w:ilvl w:val="0"/>
          <w:numId w:val="13"/>
        </w:numPr>
        <w:spacing w:line="240" w:lineRule="auto"/>
        <w:rPr>
          <w:rFonts w:ascii="Arial" w:hAnsi="Arial" w:cs="Arial"/>
          <w:sz w:val="22"/>
          <w:szCs w:val="22"/>
        </w:rPr>
      </w:pPr>
      <w:r w:rsidRPr="00003F0E">
        <w:rPr>
          <w:rFonts w:ascii="Arial" w:hAnsi="Arial" w:cs="Arial"/>
          <w:sz w:val="22"/>
          <w:szCs w:val="22"/>
        </w:rPr>
        <w:t>Increase education for Staff &amp; Originators</w:t>
      </w:r>
    </w:p>
    <w:p w14:paraId="1D2ED767" w14:textId="1B60AA47" w:rsidR="003739FE" w:rsidRPr="00003F0E" w:rsidRDefault="003739FE" w:rsidP="003739FE">
      <w:pPr>
        <w:pStyle w:val="ListParagraph"/>
        <w:numPr>
          <w:ilvl w:val="0"/>
          <w:numId w:val="13"/>
        </w:numPr>
        <w:spacing w:line="240" w:lineRule="auto"/>
        <w:rPr>
          <w:rFonts w:ascii="Arial" w:hAnsi="Arial" w:cs="Arial"/>
          <w:sz w:val="22"/>
          <w:szCs w:val="22"/>
        </w:rPr>
      </w:pPr>
      <w:r w:rsidRPr="00003F0E">
        <w:rPr>
          <w:rFonts w:ascii="Arial" w:hAnsi="Arial" w:cs="Arial"/>
          <w:sz w:val="22"/>
          <w:szCs w:val="22"/>
        </w:rPr>
        <w:t>Communicate both on web &amp; app</w:t>
      </w:r>
    </w:p>
    <w:p w14:paraId="1FFF4E68" w14:textId="68B441D4" w:rsidR="003739FE" w:rsidRPr="00003F0E" w:rsidRDefault="003739FE" w:rsidP="003739FE">
      <w:pPr>
        <w:pStyle w:val="ListParagraph"/>
        <w:numPr>
          <w:ilvl w:val="0"/>
          <w:numId w:val="13"/>
        </w:numPr>
        <w:spacing w:line="240" w:lineRule="auto"/>
        <w:rPr>
          <w:rFonts w:ascii="Arial" w:hAnsi="Arial" w:cs="Arial"/>
          <w:sz w:val="22"/>
          <w:szCs w:val="22"/>
        </w:rPr>
      </w:pPr>
      <w:r w:rsidRPr="00003F0E">
        <w:rPr>
          <w:rFonts w:ascii="Arial" w:hAnsi="Arial" w:cs="Arial"/>
          <w:sz w:val="22"/>
          <w:szCs w:val="22"/>
        </w:rPr>
        <w:t>Review internal departments like Originators</w:t>
      </w:r>
    </w:p>
    <w:p w14:paraId="0D968518" w14:textId="0A1295D0" w:rsidR="003739FE" w:rsidRPr="00003F0E" w:rsidRDefault="00003F0E" w:rsidP="003739FE">
      <w:pPr>
        <w:pStyle w:val="ListParagraph"/>
        <w:numPr>
          <w:ilvl w:val="0"/>
          <w:numId w:val="13"/>
        </w:numPr>
        <w:spacing w:line="240" w:lineRule="auto"/>
        <w:rPr>
          <w:rFonts w:ascii="Arial" w:hAnsi="Arial" w:cs="Arial"/>
          <w:sz w:val="22"/>
          <w:szCs w:val="22"/>
        </w:rPr>
      </w:pPr>
      <w:r w:rsidRPr="00003F0E">
        <w:rPr>
          <w:rFonts w:ascii="Arial" w:hAnsi="Arial" w:cs="Arial"/>
          <w:sz w:val="22"/>
          <w:szCs w:val="22"/>
        </w:rPr>
        <w:t>Require “PAYROLL” 2026 description</w:t>
      </w:r>
    </w:p>
    <w:p w14:paraId="3C3CC471" w14:textId="2E791881" w:rsidR="00003F0E" w:rsidRDefault="00003F0E" w:rsidP="00003F0E">
      <w:pPr>
        <w:pStyle w:val="ListParagraph"/>
        <w:numPr>
          <w:ilvl w:val="0"/>
          <w:numId w:val="13"/>
        </w:numPr>
        <w:spacing w:line="240" w:lineRule="auto"/>
        <w:rPr>
          <w:rFonts w:ascii="Arial" w:hAnsi="Arial" w:cs="Arial"/>
          <w:sz w:val="22"/>
          <w:szCs w:val="22"/>
        </w:rPr>
      </w:pPr>
      <w:r w:rsidRPr="00003F0E">
        <w:rPr>
          <w:rFonts w:ascii="Arial" w:hAnsi="Arial" w:cs="Arial"/>
          <w:sz w:val="22"/>
          <w:szCs w:val="22"/>
        </w:rPr>
        <w:t xml:space="preserve">Use FRB’s </w:t>
      </w:r>
      <w:proofErr w:type="spellStart"/>
      <w:r w:rsidRPr="00003F0E">
        <w:rPr>
          <w:rFonts w:ascii="Arial" w:hAnsi="Arial" w:cs="Arial"/>
          <w:sz w:val="22"/>
          <w:szCs w:val="22"/>
        </w:rPr>
        <w:t>FraudClassifier</w:t>
      </w:r>
      <w:proofErr w:type="spellEnd"/>
      <w:r w:rsidR="00C9426A">
        <w:rPr>
          <w:rFonts w:ascii="Arial" w:hAnsi="Arial" w:cs="Arial"/>
          <w:sz w:val="22"/>
          <w:szCs w:val="22"/>
        </w:rPr>
        <w:t>®</w:t>
      </w:r>
      <w:r w:rsidRPr="00003F0E">
        <w:rPr>
          <w:rFonts w:ascii="Arial" w:hAnsi="Arial" w:cs="Arial"/>
          <w:sz w:val="22"/>
          <w:szCs w:val="22"/>
        </w:rPr>
        <w:t xml:space="preserve"> Model to track fraud types and for reportin</w:t>
      </w:r>
      <w:r>
        <w:rPr>
          <w:rFonts w:ascii="Arial" w:hAnsi="Arial" w:cs="Arial"/>
          <w:sz w:val="22"/>
          <w:szCs w:val="22"/>
        </w:rPr>
        <w:t>g</w:t>
      </w:r>
    </w:p>
    <w:p w14:paraId="1D64BA7F" w14:textId="22B073DD" w:rsidR="00D16D4C" w:rsidRDefault="00D16D4C" w:rsidP="00003F0E">
      <w:pPr>
        <w:pStyle w:val="ListParagraph"/>
        <w:numPr>
          <w:ilvl w:val="0"/>
          <w:numId w:val="13"/>
        </w:numPr>
        <w:spacing w:line="240" w:lineRule="auto"/>
        <w:rPr>
          <w:rFonts w:ascii="Arial" w:hAnsi="Arial" w:cs="Arial"/>
          <w:sz w:val="22"/>
          <w:szCs w:val="22"/>
        </w:rPr>
      </w:pPr>
      <w:r>
        <w:rPr>
          <w:rFonts w:ascii="Arial" w:hAnsi="Arial" w:cs="Arial"/>
          <w:sz w:val="22"/>
          <w:szCs w:val="22"/>
        </w:rPr>
        <w:t>Obtain Originator/TPS business hour and mobile phone contacts on file for issues</w:t>
      </w:r>
    </w:p>
    <w:p w14:paraId="19B5D738" w14:textId="77777777" w:rsidR="00003F0E" w:rsidRDefault="00003F0E" w:rsidP="00003F0E">
      <w:pPr>
        <w:spacing w:line="240" w:lineRule="auto"/>
        <w:rPr>
          <w:rFonts w:ascii="Arial" w:hAnsi="Arial" w:cs="Arial"/>
          <w:sz w:val="22"/>
          <w:szCs w:val="22"/>
        </w:rPr>
      </w:pPr>
    </w:p>
    <w:p w14:paraId="002812FB" w14:textId="6615D50A" w:rsidR="00003F0E" w:rsidRPr="00003F0E" w:rsidRDefault="00003F0E" w:rsidP="00003F0E">
      <w:pPr>
        <w:spacing w:line="240" w:lineRule="auto"/>
        <w:contextualSpacing/>
        <w:rPr>
          <w:rFonts w:ascii="Arial" w:hAnsi="Arial" w:cs="Arial"/>
          <w:b/>
          <w:bCs/>
          <w:color w:val="4C94D8" w:themeColor="text2" w:themeTint="80"/>
        </w:rPr>
      </w:pPr>
      <w:r w:rsidRPr="00003F0E">
        <w:rPr>
          <w:rFonts w:ascii="Arial" w:hAnsi="Arial" w:cs="Arial"/>
          <w:b/>
          <w:bCs/>
          <w:color w:val="4C94D8" w:themeColor="text2" w:themeTint="80"/>
        </w:rPr>
        <w:lastRenderedPageBreak/>
        <w:t>Guidance for Originators</w:t>
      </w:r>
    </w:p>
    <w:p w14:paraId="79300BA1" w14:textId="77777777" w:rsidR="00003F0E" w:rsidRDefault="00003F0E" w:rsidP="00003F0E">
      <w:pPr>
        <w:spacing w:line="240" w:lineRule="auto"/>
        <w:contextualSpacing/>
        <w:rPr>
          <w:rFonts w:ascii="Arial" w:hAnsi="Arial" w:cs="Arial"/>
          <w:sz w:val="22"/>
          <w:szCs w:val="22"/>
        </w:rPr>
      </w:pPr>
    </w:p>
    <w:p w14:paraId="445D3E2F" w14:textId="60C9CD8D" w:rsidR="00003F0E" w:rsidRDefault="00003F0E" w:rsidP="00D16D4C">
      <w:pPr>
        <w:spacing w:line="240" w:lineRule="auto"/>
        <w:contextualSpacing/>
        <w:rPr>
          <w:rFonts w:ascii="Arial" w:hAnsi="Arial" w:cs="Arial"/>
          <w:sz w:val="22"/>
          <w:szCs w:val="22"/>
        </w:rPr>
      </w:pPr>
      <w:r>
        <w:rPr>
          <w:rFonts w:ascii="Arial" w:hAnsi="Arial" w:cs="Arial"/>
          <w:sz w:val="22"/>
          <w:szCs w:val="22"/>
        </w:rPr>
        <w:t>Majority of ACH Originations are recurring, with repeat payments sent to the same employees, same utilities customers, same vendors, etc.  Thus, Originators should increase focus on the following 2 situations</w:t>
      </w:r>
      <w:r w:rsidR="0016708B">
        <w:rPr>
          <w:rFonts w:ascii="Arial" w:hAnsi="Arial" w:cs="Arial"/>
          <w:sz w:val="22"/>
          <w:szCs w:val="22"/>
        </w:rPr>
        <w:t xml:space="preserve"> atypical to baseline recurring activity</w:t>
      </w:r>
      <w:r>
        <w:rPr>
          <w:rFonts w:ascii="Arial" w:hAnsi="Arial" w:cs="Arial"/>
          <w:sz w:val="22"/>
          <w:szCs w:val="22"/>
        </w:rPr>
        <w:t>:</w:t>
      </w:r>
    </w:p>
    <w:p w14:paraId="39AD3309" w14:textId="73D6D59F" w:rsidR="00003F0E" w:rsidRDefault="00003F0E" w:rsidP="00D16D4C">
      <w:pPr>
        <w:pStyle w:val="ListParagraph"/>
        <w:numPr>
          <w:ilvl w:val="0"/>
          <w:numId w:val="14"/>
        </w:numPr>
        <w:spacing w:line="240" w:lineRule="auto"/>
        <w:rPr>
          <w:rFonts w:ascii="Arial" w:hAnsi="Arial" w:cs="Arial"/>
          <w:sz w:val="22"/>
          <w:szCs w:val="22"/>
        </w:rPr>
      </w:pPr>
      <w:r w:rsidRPr="0099740E">
        <w:rPr>
          <w:rFonts w:ascii="Arial" w:hAnsi="Arial" w:cs="Arial"/>
          <w:sz w:val="22"/>
          <w:szCs w:val="22"/>
          <w:u w:val="single"/>
        </w:rPr>
        <w:t>New Receivers</w:t>
      </w:r>
      <w:r>
        <w:rPr>
          <w:rFonts w:ascii="Arial" w:hAnsi="Arial" w:cs="Arial"/>
          <w:sz w:val="22"/>
          <w:szCs w:val="22"/>
        </w:rPr>
        <w:t xml:space="preserve"> </w:t>
      </w:r>
      <w:r w:rsidR="00D16D4C">
        <w:rPr>
          <w:rFonts w:ascii="Arial" w:hAnsi="Arial" w:cs="Arial"/>
          <w:sz w:val="22"/>
          <w:szCs w:val="22"/>
        </w:rPr>
        <w:t>–</w:t>
      </w:r>
      <w:r>
        <w:rPr>
          <w:rFonts w:ascii="Arial" w:hAnsi="Arial" w:cs="Arial"/>
          <w:sz w:val="22"/>
          <w:szCs w:val="22"/>
        </w:rPr>
        <w:t xml:space="preserve"> </w:t>
      </w:r>
      <w:r w:rsidR="00D16D4C">
        <w:rPr>
          <w:rFonts w:ascii="Arial" w:hAnsi="Arial" w:cs="Arial"/>
          <w:sz w:val="22"/>
          <w:szCs w:val="22"/>
        </w:rPr>
        <w:t>Due diligence, identity verified, and account info transmitted securely or with encryption</w:t>
      </w:r>
    </w:p>
    <w:p w14:paraId="651B4435" w14:textId="598597D4" w:rsidR="00D16D4C" w:rsidRDefault="00D16D4C" w:rsidP="00D16D4C">
      <w:pPr>
        <w:pStyle w:val="ListParagraph"/>
        <w:numPr>
          <w:ilvl w:val="0"/>
          <w:numId w:val="14"/>
        </w:numPr>
        <w:spacing w:line="240" w:lineRule="auto"/>
        <w:rPr>
          <w:rFonts w:ascii="Arial" w:hAnsi="Arial" w:cs="Arial"/>
          <w:sz w:val="22"/>
          <w:szCs w:val="22"/>
        </w:rPr>
      </w:pPr>
      <w:r w:rsidRPr="0099740E">
        <w:rPr>
          <w:rFonts w:ascii="Arial" w:hAnsi="Arial" w:cs="Arial"/>
          <w:sz w:val="22"/>
          <w:szCs w:val="22"/>
          <w:u w:val="single"/>
        </w:rPr>
        <w:t>Existing Receivers</w:t>
      </w:r>
      <w:r>
        <w:rPr>
          <w:rFonts w:ascii="Arial" w:hAnsi="Arial" w:cs="Arial"/>
          <w:sz w:val="22"/>
          <w:szCs w:val="22"/>
        </w:rPr>
        <w:t xml:space="preserve"> with sudden account info change – Verify with contact info on file (not on a possible phony email), KYC.</w:t>
      </w:r>
    </w:p>
    <w:p w14:paraId="314069AD" w14:textId="5C2FE057" w:rsidR="00D16D4C" w:rsidRPr="00D16D4C" w:rsidRDefault="00D16D4C" w:rsidP="00D16D4C">
      <w:pPr>
        <w:spacing w:line="240" w:lineRule="auto"/>
        <w:contextualSpacing/>
        <w:rPr>
          <w:rFonts w:ascii="Arial" w:hAnsi="Arial" w:cs="Arial"/>
          <w:b/>
          <w:bCs/>
          <w:color w:val="4C94D8" w:themeColor="text2" w:themeTint="80"/>
        </w:rPr>
      </w:pPr>
      <w:r w:rsidRPr="00D16D4C">
        <w:rPr>
          <w:rFonts w:ascii="Arial" w:hAnsi="Arial" w:cs="Arial"/>
          <w:b/>
          <w:bCs/>
          <w:color w:val="4C94D8" w:themeColor="text2" w:themeTint="80"/>
        </w:rPr>
        <w:t>Originator – Authorization Process</w:t>
      </w:r>
    </w:p>
    <w:p w14:paraId="1A2E9582" w14:textId="5DBB95F8" w:rsidR="00D16D4C" w:rsidRDefault="00D16D4C" w:rsidP="00D16D4C">
      <w:pPr>
        <w:spacing w:line="240" w:lineRule="auto"/>
        <w:contextualSpacing/>
        <w:rPr>
          <w:rFonts w:ascii="Arial" w:hAnsi="Arial" w:cs="Arial"/>
          <w:sz w:val="22"/>
          <w:szCs w:val="22"/>
        </w:rPr>
      </w:pPr>
    </w:p>
    <w:p w14:paraId="2D0A88FA" w14:textId="4962FAF7" w:rsidR="00D16D4C" w:rsidRDefault="00275E29" w:rsidP="001B0DE7">
      <w:pPr>
        <w:spacing w:line="240" w:lineRule="auto"/>
        <w:contextualSpacing/>
        <w:rPr>
          <w:rFonts w:ascii="Arial" w:hAnsi="Arial" w:cs="Arial"/>
          <w:sz w:val="22"/>
          <w:szCs w:val="22"/>
        </w:rPr>
      </w:pPr>
      <w:r>
        <w:rPr>
          <w:rFonts w:ascii="Arial" w:hAnsi="Arial" w:cs="Arial"/>
          <w:sz w:val="22"/>
          <w:szCs w:val="22"/>
        </w:rPr>
        <w:t xml:space="preserve">Subsection 2.3.1 of the Rules </w:t>
      </w:r>
      <w:r w:rsidR="001653AD">
        <w:rPr>
          <w:rFonts w:ascii="Arial" w:hAnsi="Arial" w:cs="Arial"/>
          <w:sz w:val="22"/>
          <w:szCs w:val="22"/>
        </w:rPr>
        <w:t xml:space="preserve">emphasizes </w:t>
      </w:r>
      <w:r w:rsidR="0080596A">
        <w:rPr>
          <w:rFonts w:ascii="Arial" w:hAnsi="Arial" w:cs="Arial"/>
          <w:sz w:val="22"/>
          <w:szCs w:val="22"/>
        </w:rPr>
        <w:t>“</w:t>
      </w:r>
      <w:r w:rsidR="001653AD">
        <w:rPr>
          <w:rFonts w:ascii="Arial" w:hAnsi="Arial" w:cs="Arial"/>
          <w:sz w:val="22"/>
          <w:szCs w:val="22"/>
        </w:rPr>
        <w:t xml:space="preserve">Originator must obtain authorization </w:t>
      </w:r>
      <w:r w:rsidR="0080596A">
        <w:rPr>
          <w:rFonts w:ascii="Arial" w:hAnsi="Arial" w:cs="Arial"/>
          <w:sz w:val="22"/>
          <w:szCs w:val="22"/>
        </w:rPr>
        <w:t xml:space="preserve">from the Receiver to originate one or more Entries to the Receiver’s account” and </w:t>
      </w:r>
      <w:r w:rsidR="009947C1">
        <w:rPr>
          <w:rFonts w:ascii="Arial" w:hAnsi="Arial" w:cs="Arial"/>
          <w:sz w:val="22"/>
          <w:szCs w:val="22"/>
        </w:rPr>
        <w:t>“</w:t>
      </w:r>
      <w:r w:rsidR="0080596A">
        <w:rPr>
          <w:rFonts w:ascii="Arial" w:hAnsi="Arial" w:cs="Arial"/>
          <w:sz w:val="22"/>
          <w:szCs w:val="22"/>
        </w:rPr>
        <w:t xml:space="preserve">comply </w:t>
      </w:r>
      <w:r w:rsidR="009947C1">
        <w:rPr>
          <w:rFonts w:ascii="Arial" w:hAnsi="Arial" w:cs="Arial"/>
          <w:sz w:val="22"/>
          <w:szCs w:val="22"/>
        </w:rPr>
        <w:t>with applicable legal requirements</w:t>
      </w:r>
      <w:r w:rsidR="002A6832">
        <w:rPr>
          <w:rFonts w:ascii="Arial" w:hAnsi="Arial" w:cs="Arial"/>
          <w:sz w:val="22"/>
          <w:szCs w:val="22"/>
        </w:rPr>
        <w:t xml:space="preserve"> (any law, statute, </w:t>
      </w:r>
      <w:r w:rsidR="00CE1FE7">
        <w:rPr>
          <w:rFonts w:ascii="Arial" w:hAnsi="Arial" w:cs="Arial"/>
          <w:sz w:val="22"/>
          <w:szCs w:val="22"/>
        </w:rPr>
        <w:t>regulation, or any binding published interpretation issued by any government authority</w:t>
      </w:r>
      <w:r w:rsidR="00B60C84">
        <w:rPr>
          <w:rFonts w:ascii="Arial" w:hAnsi="Arial" w:cs="Arial"/>
          <w:sz w:val="22"/>
          <w:szCs w:val="22"/>
        </w:rPr>
        <w:t xml:space="preserve"> (including courts), </w:t>
      </w:r>
      <w:r w:rsidR="005D6B3D">
        <w:rPr>
          <w:rFonts w:ascii="Arial" w:hAnsi="Arial" w:cs="Arial"/>
          <w:sz w:val="22"/>
          <w:szCs w:val="22"/>
        </w:rPr>
        <w:t>and any judicial, governmental, or administrative order, decree, or ruling)</w:t>
      </w:r>
      <w:r w:rsidR="009947C1">
        <w:rPr>
          <w:rFonts w:ascii="Arial" w:hAnsi="Arial" w:cs="Arial"/>
          <w:sz w:val="22"/>
          <w:szCs w:val="22"/>
        </w:rPr>
        <w:t>”</w:t>
      </w:r>
      <w:r w:rsidR="0080596A">
        <w:rPr>
          <w:rFonts w:ascii="Arial" w:hAnsi="Arial" w:cs="Arial"/>
          <w:sz w:val="22"/>
          <w:szCs w:val="22"/>
        </w:rPr>
        <w:t>.</w:t>
      </w:r>
    </w:p>
    <w:p w14:paraId="35A6E317" w14:textId="77777777" w:rsidR="00D8725D" w:rsidRDefault="00D8725D" w:rsidP="001B0DE7">
      <w:pPr>
        <w:spacing w:line="240" w:lineRule="auto"/>
        <w:contextualSpacing/>
        <w:rPr>
          <w:rFonts w:ascii="Arial" w:hAnsi="Arial" w:cs="Arial"/>
          <w:sz w:val="22"/>
          <w:szCs w:val="22"/>
        </w:rPr>
      </w:pPr>
    </w:p>
    <w:p w14:paraId="0D7CCBA0" w14:textId="3D4DD045" w:rsidR="00D8725D" w:rsidRDefault="00D8725D" w:rsidP="001B0DE7">
      <w:pPr>
        <w:spacing w:line="240" w:lineRule="auto"/>
        <w:contextualSpacing/>
        <w:rPr>
          <w:rFonts w:ascii="Arial" w:hAnsi="Arial" w:cs="Arial"/>
          <w:sz w:val="22"/>
          <w:szCs w:val="22"/>
        </w:rPr>
      </w:pPr>
      <w:r>
        <w:rPr>
          <w:rFonts w:ascii="Arial" w:hAnsi="Arial" w:cs="Arial"/>
          <w:sz w:val="22"/>
          <w:szCs w:val="22"/>
        </w:rPr>
        <w:t xml:space="preserve">The authorization </w:t>
      </w:r>
      <w:r w:rsidR="002B5696">
        <w:rPr>
          <w:rFonts w:ascii="Arial" w:hAnsi="Arial" w:cs="Arial"/>
          <w:sz w:val="22"/>
          <w:szCs w:val="22"/>
        </w:rPr>
        <w:t xml:space="preserve">signed or similarly authenticated by the </w:t>
      </w:r>
      <w:r w:rsidR="00AB2967">
        <w:rPr>
          <w:rFonts w:ascii="Arial" w:hAnsi="Arial" w:cs="Arial"/>
          <w:sz w:val="22"/>
          <w:szCs w:val="22"/>
        </w:rPr>
        <w:t>Receiver should be a legally binding document that represents the Receiver</w:t>
      </w:r>
      <w:r w:rsidR="00084EA0">
        <w:rPr>
          <w:rFonts w:ascii="Arial" w:hAnsi="Arial" w:cs="Arial"/>
          <w:sz w:val="22"/>
          <w:szCs w:val="22"/>
        </w:rPr>
        <w:t>.  Communications such as an email</w:t>
      </w:r>
      <w:r w:rsidR="00A91698">
        <w:rPr>
          <w:rFonts w:ascii="Arial" w:hAnsi="Arial" w:cs="Arial"/>
          <w:sz w:val="22"/>
          <w:szCs w:val="22"/>
        </w:rPr>
        <w:t xml:space="preserve"> or text, both unencrypted and unsecure, does not fit</w:t>
      </w:r>
      <w:r w:rsidR="00A13746">
        <w:rPr>
          <w:rFonts w:ascii="Arial" w:hAnsi="Arial" w:cs="Arial"/>
          <w:sz w:val="22"/>
          <w:szCs w:val="22"/>
        </w:rPr>
        <w:t xml:space="preserve"> compliance with applicable legal requirements.  </w:t>
      </w:r>
    </w:p>
    <w:p w14:paraId="27E5DBA5" w14:textId="77777777" w:rsidR="00A13746" w:rsidRDefault="00A13746" w:rsidP="001B0DE7">
      <w:pPr>
        <w:spacing w:line="240" w:lineRule="auto"/>
        <w:contextualSpacing/>
        <w:rPr>
          <w:rFonts w:ascii="Arial" w:hAnsi="Arial" w:cs="Arial"/>
          <w:sz w:val="22"/>
          <w:szCs w:val="22"/>
        </w:rPr>
      </w:pPr>
    </w:p>
    <w:p w14:paraId="752D36F3" w14:textId="417AAC5B" w:rsidR="00A13746" w:rsidRDefault="00A13746" w:rsidP="001B0DE7">
      <w:pPr>
        <w:spacing w:line="240" w:lineRule="auto"/>
        <w:contextualSpacing/>
        <w:rPr>
          <w:rFonts w:ascii="Arial" w:hAnsi="Arial" w:cs="Arial"/>
          <w:sz w:val="22"/>
          <w:szCs w:val="22"/>
        </w:rPr>
      </w:pPr>
      <w:r>
        <w:rPr>
          <w:rFonts w:ascii="Arial" w:hAnsi="Arial" w:cs="Arial"/>
          <w:sz w:val="22"/>
          <w:szCs w:val="22"/>
        </w:rPr>
        <w:t>Examples of ACH credit authorizations:</w:t>
      </w:r>
    </w:p>
    <w:p w14:paraId="2F07F24D" w14:textId="5058A615" w:rsidR="00A13746" w:rsidRDefault="00054559" w:rsidP="001B0DE7">
      <w:pPr>
        <w:pStyle w:val="ListParagraph"/>
        <w:numPr>
          <w:ilvl w:val="0"/>
          <w:numId w:val="15"/>
        </w:numPr>
        <w:spacing w:line="240" w:lineRule="auto"/>
        <w:rPr>
          <w:rFonts w:ascii="Arial" w:hAnsi="Arial" w:cs="Arial"/>
          <w:sz w:val="22"/>
          <w:szCs w:val="22"/>
        </w:rPr>
      </w:pPr>
      <w:r>
        <w:rPr>
          <w:rFonts w:ascii="Arial" w:hAnsi="Arial" w:cs="Arial"/>
          <w:sz w:val="22"/>
          <w:szCs w:val="22"/>
        </w:rPr>
        <w:t>Written authorization form</w:t>
      </w:r>
    </w:p>
    <w:p w14:paraId="345DAA55" w14:textId="107A03EB" w:rsidR="00054559" w:rsidRDefault="00054559" w:rsidP="001B0DE7">
      <w:pPr>
        <w:pStyle w:val="ListParagraph"/>
        <w:numPr>
          <w:ilvl w:val="0"/>
          <w:numId w:val="15"/>
        </w:numPr>
        <w:spacing w:line="240" w:lineRule="auto"/>
        <w:rPr>
          <w:rFonts w:ascii="Arial" w:hAnsi="Arial" w:cs="Arial"/>
          <w:sz w:val="22"/>
          <w:szCs w:val="22"/>
        </w:rPr>
      </w:pPr>
      <w:r>
        <w:rPr>
          <w:rFonts w:ascii="Arial" w:hAnsi="Arial" w:cs="Arial"/>
          <w:sz w:val="22"/>
          <w:szCs w:val="22"/>
        </w:rPr>
        <w:t>Secure HR portal</w:t>
      </w:r>
    </w:p>
    <w:p w14:paraId="580462A2" w14:textId="51754F09" w:rsidR="00054559" w:rsidRDefault="00054559" w:rsidP="001B0DE7">
      <w:pPr>
        <w:pStyle w:val="ListParagraph"/>
        <w:numPr>
          <w:ilvl w:val="0"/>
          <w:numId w:val="15"/>
        </w:numPr>
        <w:spacing w:line="240" w:lineRule="auto"/>
        <w:rPr>
          <w:rFonts w:ascii="Arial" w:hAnsi="Arial" w:cs="Arial"/>
          <w:sz w:val="22"/>
          <w:szCs w:val="22"/>
        </w:rPr>
      </w:pPr>
      <w:r>
        <w:rPr>
          <w:rFonts w:ascii="Arial" w:hAnsi="Arial" w:cs="Arial"/>
          <w:sz w:val="22"/>
          <w:szCs w:val="22"/>
        </w:rPr>
        <w:t xml:space="preserve">Voided </w:t>
      </w:r>
      <w:r w:rsidR="00F54557">
        <w:rPr>
          <w:rFonts w:ascii="Arial" w:hAnsi="Arial" w:cs="Arial"/>
          <w:sz w:val="22"/>
          <w:szCs w:val="22"/>
        </w:rPr>
        <w:t>physical check</w:t>
      </w:r>
    </w:p>
    <w:p w14:paraId="46F35FB8" w14:textId="6814E5EB" w:rsidR="001B0DE7" w:rsidRDefault="008E02B1" w:rsidP="001B0DE7">
      <w:pPr>
        <w:spacing w:line="240" w:lineRule="auto"/>
        <w:contextualSpacing/>
        <w:rPr>
          <w:rFonts w:ascii="Arial" w:hAnsi="Arial" w:cs="Arial"/>
          <w:sz w:val="22"/>
          <w:szCs w:val="22"/>
        </w:rPr>
      </w:pPr>
      <w:r>
        <w:rPr>
          <w:rFonts w:ascii="Arial" w:hAnsi="Arial" w:cs="Arial"/>
          <w:sz w:val="22"/>
          <w:szCs w:val="22"/>
        </w:rPr>
        <w:t>Such documented authorizations</w:t>
      </w:r>
      <w:r w:rsidR="004D071F">
        <w:rPr>
          <w:rFonts w:ascii="Arial" w:hAnsi="Arial" w:cs="Arial"/>
          <w:sz w:val="22"/>
          <w:szCs w:val="22"/>
        </w:rPr>
        <w:t xml:space="preserve"> that comply with legal requirements should be retained by Originator </w:t>
      </w:r>
      <w:r w:rsidR="00D3171A">
        <w:rPr>
          <w:rFonts w:ascii="Arial" w:hAnsi="Arial" w:cs="Arial"/>
          <w:sz w:val="22"/>
          <w:szCs w:val="22"/>
        </w:rPr>
        <w:t xml:space="preserve">for 2 years after termination/revocation and be readily available </w:t>
      </w:r>
      <w:r w:rsidR="004319C1">
        <w:rPr>
          <w:rFonts w:ascii="Arial" w:hAnsi="Arial" w:cs="Arial"/>
          <w:sz w:val="22"/>
          <w:szCs w:val="22"/>
        </w:rPr>
        <w:t>within 10 banking days for any RDFI requests (Subsection 2.3.2.7)</w:t>
      </w:r>
      <w:r w:rsidR="007E3822">
        <w:rPr>
          <w:rFonts w:ascii="Arial" w:hAnsi="Arial" w:cs="Arial"/>
          <w:sz w:val="22"/>
          <w:szCs w:val="22"/>
        </w:rPr>
        <w:t>.</w:t>
      </w:r>
    </w:p>
    <w:p w14:paraId="370FD809" w14:textId="77777777" w:rsidR="00EA526A" w:rsidRDefault="00EA526A" w:rsidP="001B0DE7">
      <w:pPr>
        <w:spacing w:line="240" w:lineRule="auto"/>
        <w:contextualSpacing/>
        <w:rPr>
          <w:rFonts w:ascii="Arial" w:hAnsi="Arial" w:cs="Arial"/>
          <w:sz w:val="22"/>
          <w:szCs w:val="22"/>
        </w:rPr>
      </w:pPr>
    </w:p>
    <w:p w14:paraId="220D1354" w14:textId="74BD2F85" w:rsidR="00EA526A" w:rsidRDefault="00EA526A" w:rsidP="001B0DE7">
      <w:pPr>
        <w:spacing w:line="240" w:lineRule="auto"/>
        <w:contextualSpacing/>
        <w:rPr>
          <w:rFonts w:ascii="Arial" w:hAnsi="Arial" w:cs="Arial"/>
          <w:sz w:val="22"/>
          <w:szCs w:val="22"/>
        </w:rPr>
      </w:pPr>
      <w:r>
        <w:rPr>
          <w:rFonts w:ascii="Arial" w:hAnsi="Arial" w:cs="Arial"/>
          <w:sz w:val="22"/>
          <w:szCs w:val="22"/>
        </w:rPr>
        <w:t>Use of Micro-Entries could assist in the authorization process</w:t>
      </w:r>
      <w:r w:rsidR="0044013E">
        <w:rPr>
          <w:rFonts w:ascii="Arial" w:hAnsi="Arial" w:cs="Arial"/>
          <w:sz w:val="22"/>
          <w:szCs w:val="22"/>
        </w:rPr>
        <w:t xml:space="preserve">, along with its </w:t>
      </w:r>
      <w:r w:rsidR="009D47C8">
        <w:rPr>
          <w:rFonts w:ascii="Arial" w:hAnsi="Arial" w:cs="Arial"/>
          <w:sz w:val="22"/>
          <w:szCs w:val="22"/>
        </w:rPr>
        <w:t xml:space="preserve">follow-up </w:t>
      </w:r>
      <w:r w:rsidR="0044013E">
        <w:rPr>
          <w:rFonts w:ascii="Arial" w:hAnsi="Arial" w:cs="Arial"/>
          <w:sz w:val="22"/>
          <w:szCs w:val="22"/>
        </w:rPr>
        <w:t>communications with the Receiver building trust between the Originator and Receiver participants.</w:t>
      </w:r>
    </w:p>
    <w:p w14:paraId="1FFF927B" w14:textId="77777777" w:rsidR="001B0DE7" w:rsidRDefault="001B0DE7" w:rsidP="001B0DE7">
      <w:pPr>
        <w:spacing w:line="240" w:lineRule="auto"/>
        <w:contextualSpacing/>
        <w:rPr>
          <w:rFonts w:ascii="Arial" w:hAnsi="Arial" w:cs="Arial"/>
          <w:sz w:val="22"/>
          <w:szCs w:val="22"/>
        </w:rPr>
      </w:pPr>
    </w:p>
    <w:p w14:paraId="4FFEBB87" w14:textId="77777777" w:rsidR="00A2755A" w:rsidRDefault="00A2755A" w:rsidP="001B0DE7">
      <w:pPr>
        <w:spacing w:line="240" w:lineRule="auto"/>
        <w:contextualSpacing/>
        <w:rPr>
          <w:rFonts w:ascii="Arial" w:hAnsi="Arial" w:cs="Arial"/>
          <w:sz w:val="22"/>
          <w:szCs w:val="22"/>
        </w:rPr>
      </w:pPr>
    </w:p>
    <w:p w14:paraId="4251F140" w14:textId="77777777" w:rsidR="00A2755A" w:rsidRDefault="00A2755A" w:rsidP="001B0DE7">
      <w:pPr>
        <w:spacing w:line="240" w:lineRule="auto"/>
        <w:contextualSpacing/>
        <w:rPr>
          <w:rFonts w:ascii="Arial" w:hAnsi="Arial" w:cs="Arial"/>
          <w:sz w:val="22"/>
          <w:szCs w:val="22"/>
        </w:rPr>
      </w:pPr>
    </w:p>
    <w:p w14:paraId="51047104" w14:textId="6C00FB01" w:rsidR="001B0DE7" w:rsidRPr="00A2755A" w:rsidRDefault="001B0DE7" w:rsidP="001B0DE7">
      <w:pPr>
        <w:spacing w:line="240" w:lineRule="auto"/>
        <w:contextualSpacing/>
        <w:rPr>
          <w:rFonts w:ascii="Arial" w:hAnsi="Arial" w:cs="Arial"/>
          <w:b/>
          <w:bCs/>
          <w:color w:val="4C94D8" w:themeColor="text2" w:themeTint="80"/>
        </w:rPr>
      </w:pPr>
      <w:r w:rsidRPr="00A2755A">
        <w:rPr>
          <w:rFonts w:ascii="Arial" w:hAnsi="Arial" w:cs="Arial"/>
          <w:b/>
          <w:bCs/>
          <w:color w:val="4C94D8" w:themeColor="text2" w:themeTint="80"/>
        </w:rPr>
        <w:t xml:space="preserve">Originator </w:t>
      </w:r>
      <w:r w:rsidR="00E224BE" w:rsidRPr="00A2755A">
        <w:rPr>
          <w:rFonts w:ascii="Arial" w:hAnsi="Arial" w:cs="Arial"/>
          <w:b/>
          <w:bCs/>
          <w:color w:val="4C94D8" w:themeColor="text2" w:themeTint="80"/>
        </w:rPr>
        <w:t>–</w:t>
      </w:r>
      <w:r w:rsidRPr="00A2755A">
        <w:rPr>
          <w:rFonts w:ascii="Arial" w:hAnsi="Arial" w:cs="Arial"/>
          <w:b/>
          <w:bCs/>
          <w:color w:val="4C94D8" w:themeColor="text2" w:themeTint="80"/>
        </w:rPr>
        <w:t xml:space="preserve"> </w:t>
      </w:r>
      <w:r w:rsidR="00E224BE" w:rsidRPr="00A2755A">
        <w:rPr>
          <w:rFonts w:ascii="Arial" w:hAnsi="Arial" w:cs="Arial"/>
          <w:b/>
          <w:bCs/>
          <w:color w:val="4C94D8" w:themeColor="text2" w:themeTint="80"/>
        </w:rPr>
        <w:t>Transmission Process</w:t>
      </w:r>
    </w:p>
    <w:p w14:paraId="2CB897F9" w14:textId="77777777" w:rsidR="00E224BE" w:rsidRDefault="00E224BE" w:rsidP="001B0DE7">
      <w:pPr>
        <w:spacing w:line="240" w:lineRule="auto"/>
        <w:contextualSpacing/>
        <w:rPr>
          <w:rFonts w:ascii="Arial" w:hAnsi="Arial" w:cs="Arial"/>
          <w:sz w:val="22"/>
          <w:szCs w:val="22"/>
        </w:rPr>
      </w:pPr>
    </w:p>
    <w:p w14:paraId="53C9A96D" w14:textId="77777777" w:rsidR="00FB7D8C" w:rsidRDefault="001E7BFB" w:rsidP="001B0DE7">
      <w:pPr>
        <w:spacing w:line="240" w:lineRule="auto"/>
        <w:contextualSpacing/>
        <w:rPr>
          <w:rFonts w:ascii="Arial" w:hAnsi="Arial" w:cs="Arial"/>
          <w:sz w:val="22"/>
          <w:szCs w:val="22"/>
        </w:rPr>
      </w:pPr>
      <w:r>
        <w:rPr>
          <w:rFonts w:ascii="Arial" w:hAnsi="Arial" w:cs="Arial"/>
          <w:sz w:val="22"/>
          <w:szCs w:val="22"/>
        </w:rPr>
        <w:t xml:space="preserve">Per Section 1.7, transmission </w:t>
      </w:r>
      <w:r w:rsidR="00E224BE">
        <w:rPr>
          <w:rFonts w:ascii="Arial" w:hAnsi="Arial" w:cs="Arial"/>
          <w:sz w:val="22"/>
          <w:szCs w:val="22"/>
        </w:rPr>
        <w:t xml:space="preserve">of </w:t>
      </w:r>
      <w:r w:rsidR="000161E0">
        <w:rPr>
          <w:rFonts w:ascii="Arial" w:hAnsi="Arial" w:cs="Arial"/>
          <w:sz w:val="22"/>
          <w:szCs w:val="22"/>
        </w:rPr>
        <w:t xml:space="preserve">banking information </w:t>
      </w:r>
      <w:r w:rsidR="00484B4B">
        <w:rPr>
          <w:rFonts w:ascii="Arial" w:hAnsi="Arial" w:cs="Arial"/>
          <w:sz w:val="22"/>
          <w:szCs w:val="22"/>
        </w:rPr>
        <w:t>(</w:t>
      </w:r>
      <w:r w:rsidR="007C1CBD">
        <w:rPr>
          <w:rFonts w:ascii="Arial" w:hAnsi="Arial" w:cs="Arial"/>
          <w:sz w:val="22"/>
          <w:szCs w:val="22"/>
        </w:rPr>
        <w:t>any Entry, routing number, account number)</w:t>
      </w:r>
      <w:r w:rsidR="00430CBE">
        <w:rPr>
          <w:rFonts w:ascii="Arial" w:hAnsi="Arial" w:cs="Arial"/>
          <w:sz w:val="22"/>
          <w:szCs w:val="22"/>
        </w:rPr>
        <w:t xml:space="preserve"> </w:t>
      </w:r>
      <w:r w:rsidR="001A203D">
        <w:rPr>
          <w:rFonts w:ascii="Arial" w:hAnsi="Arial" w:cs="Arial"/>
          <w:sz w:val="22"/>
          <w:szCs w:val="22"/>
        </w:rPr>
        <w:t xml:space="preserve">between “a Receiver and an Originator” </w:t>
      </w:r>
      <w:r w:rsidR="00430CBE">
        <w:rPr>
          <w:rFonts w:ascii="Arial" w:hAnsi="Arial" w:cs="Arial"/>
          <w:sz w:val="22"/>
          <w:szCs w:val="22"/>
        </w:rPr>
        <w:t>must be either encrypted or via secure session</w:t>
      </w:r>
      <w:r w:rsidR="007C3C9B">
        <w:rPr>
          <w:rFonts w:ascii="Arial" w:hAnsi="Arial" w:cs="Arial"/>
          <w:sz w:val="22"/>
          <w:szCs w:val="22"/>
        </w:rPr>
        <w:t>.</w:t>
      </w:r>
      <w:r w:rsidR="0095201D">
        <w:rPr>
          <w:rFonts w:ascii="Arial" w:hAnsi="Arial" w:cs="Arial"/>
          <w:sz w:val="22"/>
          <w:szCs w:val="22"/>
        </w:rPr>
        <w:t xml:space="preserve">  Any email </w:t>
      </w:r>
      <w:r w:rsidR="004B2E2A">
        <w:rPr>
          <w:rFonts w:ascii="Arial" w:hAnsi="Arial" w:cs="Arial"/>
          <w:sz w:val="22"/>
          <w:szCs w:val="22"/>
        </w:rPr>
        <w:t>transmissions of Entries or account information</w:t>
      </w:r>
      <w:r w:rsidR="00FB7D8C">
        <w:rPr>
          <w:rFonts w:ascii="Arial" w:hAnsi="Arial" w:cs="Arial"/>
          <w:sz w:val="22"/>
          <w:szCs w:val="22"/>
        </w:rPr>
        <w:t xml:space="preserve"> would be contrary to the Rules.</w:t>
      </w:r>
    </w:p>
    <w:p w14:paraId="0D6D2B9C" w14:textId="77777777" w:rsidR="00FB7D8C" w:rsidRDefault="00FB7D8C" w:rsidP="001B0DE7">
      <w:pPr>
        <w:spacing w:line="240" w:lineRule="auto"/>
        <w:contextualSpacing/>
        <w:rPr>
          <w:rFonts w:ascii="Arial" w:hAnsi="Arial" w:cs="Arial"/>
          <w:sz w:val="22"/>
          <w:szCs w:val="22"/>
        </w:rPr>
      </w:pPr>
    </w:p>
    <w:p w14:paraId="7C4782A8" w14:textId="2C367042" w:rsidR="00E224BE" w:rsidRDefault="00FB7D8C" w:rsidP="001B0DE7">
      <w:pPr>
        <w:spacing w:line="240" w:lineRule="auto"/>
        <w:contextualSpacing/>
        <w:rPr>
          <w:rFonts w:ascii="Arial" w:hAnsi="Arial" w:cs="Arial"/>
          <w:sz w:val="22"/>
          <w:szCs w:val="22"/>
        </w:rPr>
      </w:pPr>
      <w:r>
        <w:rPr>
          <w:rFonts w:ascii="Arial" w:hAnsi="Arial" w:cs="Arial"/>
          <w:sz w:val="22"/>
          <w:szCs w:val="22"/>
        </w:rPr>
        <w:t>When the Originator receives</w:t>
      </w:r>
      <w:r w:rsidR="00FC5F22">
        <w:rPr>
          <w:rFonts w:ascii="Arial" w:hAnsi="Arial" w:cs="Arial"/>
          <w:sz w:val="22"/>
          <w:szCs w:val="22"/>
        </w:rPr>
        <w:t xml:space="preserve"> Entries or account information from Receiver, they are in the best position to understand </w:t>
      </w:r>
      <w:r w:rsidR="00163D65">
        <w:rPr>
          <w:rFonts w:ascii="Arial" w:hAnsi="Arial" w:cs="Arial"/>
          <w:sz w:val="22"/>
          <w:szCs w:val="22"/>
        </w:rPr>
        <w:t>if what they received is typical or atypical to baseline activity</w:t>
      </w:r>
      <w:r w:rsidR="005A2BB3">
        <w:rPr>
          <w:rFonts w:ascii="Arial" w:hAnsi="Arial" w:cs="Arial"/>
          <w:sz w:val="22"/>
          <w:szCs w:val="22"/>
        </w:rPr>
        <w:t xml:space="preserve"> of their Receivers.</w:t>
      </w:r>
    </w:p>
    <w:p w14:paraId="44EB9626" w14:textId="77777777" w:rsidR="00E77CCB" w:rsidRDefault="00E77CCB" w:rsidP="001B0DE7">
      <w:pPr>
        <w:spacing w:line="240" w:lineRule="auto"/>
        <w:contextualSpacing/>
        <w:rPr>
          <w:rFonts w:ascii="Arial" w:hAnsi="Arial" w:cs="Arial"/>
          <w:sz w:val="22"/>
          <w:szCs w:val="22"/>
        </w:rPr>
      </w:pPr>
    </w:p>
    <w:p w14:paraId="25073E74" w14:textId="5BC8A767" w:rsidR="00E77CCB" w:rsidRDefault="00E77CCB" w:rsidP="001B0DE7">
      <w:pPr>
        <w:spacing w:line="240" w:lineRule="auto"/>
        <w:contextualSpacing/>
        <w:rPr>
          <w:rFonts w:ascii="Arial" w:hAnsi="Arial" w:cs="Arial"/>
          <w:sz w:val="22"/>
          <w:szCs w:val="22"/>
        </w:rPr>
      </w:pPr>
      <w:r>
        <w:rPr>
          <w:rFonts w:ascii="Arial" w:hAnsi="Arial" w:cs="Arial"/>
          <w:sz w:val="22"/>
          <w:szCs w:val="22"/>
        </w:rPr>
        <w:t>Something atypical could be:</w:t>
      </w:r>
    </w:p>
    <w:p w14:paraId="75B2C681" w14:textId="48F10535" w:rsidR="00E77CCB" w:rsidRDefault="00E77CCB" w:rsidP="00E77CCB">
      <w:pPr>
        <w:pStyle w:val="ListParagraph"/>
        <w:numPr>
          <w:ilvl w:val="0"/>
          <w:numId w:val="16"/>
        </w:numPr>
        <w:spacing w:line="240" w:lineRule="auto"/>
        <w:rPr>
          <w:rFonts w:ascii="Arial" w:hAnsi="Arial" w:cs="Arial"/>
          <w:sz w:val="22"/>
          <w:szCs w:val="22"/>
        </w:rPr>
      </w:pPr>
      <w:r>
        <w:rPr>
          <w:rFonts w:ascii="Arial" w:hAnsi="Arial" w:cs="Arial"/>
          <w:sz w:val="22"/>
          <w:szCs w:val="22"/>
        </w:rPr>
        <w:t xml:space="preserve">New recipient of an ACH </w:t>
      </w:r>
      <w:r w:rsidR="00A34A7E">
        <w:rPr>
          <w:rFonts w:ascii="Arial" w:hAnsi="Arial" w:cs="Arial"/>
          <w:sz w:val="22"/>
          <w:szCs w:val="22"/>
        </w:rPr>
        <w:t>payment</w:t>
      </w:r>
    </w:p>
    <w:p w14:paraId="2B8E3EC0" w14:textId="057495A0" w:rsidR="00C050FF" w:rsidRDefault="00C050FF" w:rsidP="00E77CCB">
      <w:pPr>
        <w:pStyle w:val="ListParagraph"/>
        <w:numPr>
          <w:ilvl w:val="0"/>
          <w:numId w:val="16"/>
        </w:numPr>
        <w:spacing w:line="240" w:lineRule="auto"/>
        <w:rPr>
          <w:rFonts w:ascii="Arial" w:hAnsi="Arial" w:cs="Arial"/>
          <w:sz w:val="22"/>
          <w:szCs w:val="22"/>
        </w:rPr>
      </w:pPr>
      <w:r>
        <w:rPr>
          <w:rFonts w:ascii="Arial" w:hAnsi="Arial" w:cs="Arial"/>
          <w:sz w:val="22"/>
          <w:szCs w:val="22"/>
        </w:rPr>
        <w:t xml:space="preserve">Existing recipient suddenly changes account info </w:t>
      </w:r>
      <w:r w:rsidR="00A11B0C">
        <w:rPr>
          <w:rFonts w:ascii="Arial" w:hAnsi="Arial" w:cs="Arial"/>
          <w:sz w:val="22"/>
          <w:szCs w:val="22"/>
        </w:rPr>
        <w:t>(verify with contact on file)</w:t>
      </w:r>
    </w:p>
    <w:p w14:paraId="76A5CDCC" w14:textId="6E832046" w:rsidR="00A34A7E" w:rsidRDefault="00D0516E" w:rsidP="00E77CCB">
      <w:pPr>
        <w:pStyle w:val="ListParagraph"/>
        <w:numPr>
          <w:ilvl w:val="0"/>
          <w:numId w:val="16"/>
        </w:numPr>
        <w:spacing w:line="240" w:lineRule="auto"/>
        <w:rPr>
          <w:rFonts w:ascii="Arial" w:hAnsi="Arial" w:cs="Arial"/>
          <w:sz w:val="22"/>
          <w:szCs w:val="22"/>
        </w:rPr>
      </w:pPr>
      <w:r>
        <w:rPr>
          <w:rFonts w:ascii="Arial" w:hAnsi="Arial" w:cs="Arial"/>
          <w:sz w:val="22"/>
          <w:szCs w:val="22"/>
        </w:rPr>
        <w:t>Unusual $ amount requested</w:t>
      </w:r>
    </w:p>
    <w:p w14:paraId="49A33ADB" w14:textId="79AC6692" w:rsidR="005C6423" w:rsidRDefault="0024782D" w:rsidP="005C6423">
      <w:pPr>
        <w:pStyle w:val="ListParagraph"/>
        <w:numPr>
          <w:ilvl w:val="0"/>
          <w:numId w:val="16"/>
        </w:numPr>
        <w:spacing w:line="240" w:lineRule="auto"/>
        <w:rPr>
          <w:rFonts w:ascii="Arial" w:hAnsi="Arial" w:cs="Arial"/>
          <w:sz w:val="22"/>
          <w:szCs w:val="22"/>
        </w:rPr>
      </w:pPr>
      <w:r>
        <w:rPr>
          <w:rFonts w:ascii="Arial" w:hAnsi="Arial" w:cs="Arial"/>
          <w:sz w:val="22"/>
          <w:szCs w:val="22"/>
        </w:rPr>
        <w:t xml:space="preserve">Clusters of </w:t>
      </w:r>
      <w:r w:rsidR="005C6423">
        <w:rPr>
          <w:rFonts w:ascii="Arial" w:hAnsi="Arial" w:cs="Arial"/>
          <w:sz w:val="22"/>
          <w:szCs w:val="22"/>
        </w:rPr>
        <w:t>payments to same recipient</w:t>
      </w:r>
    </w:p>
    <w:p w14:paraId="5B99E099" w14:textId="737AC4DE" w:rsidR="005C6423" w:rsidRDefault="005C6423" w:rsidP="005C6423">
      <w:pPr>
        <w:spacing w:line="240" w:lineRule="auto"/>
        <w:contextualSpacing/>
        <w:rPr>
          <w:rFonts w:ascii="Arial" w:hAnsi="Arial" w:cs="Arial"/>
          <w:sz w:val="22"/>
          <w:szCs w:val="22"/>
        </w:rPr>
      </w:pPr>
    </w:p>
    <w:p w14:paraId="5AB27C0A" w14:textId="4C6E56DE" w:rsidR="005C6423" w:rsidRPr="00E139B8" w:rsidRDefault="005C6423" w:rsidP="005C6423">
      <w:pPr>
        <w:spacing w:line="240" w:lineRule="auto"/>
        <w:contextualSpacing/>
        <w:rPr>
          <w:rFonts w:ascii="Arial" w:hAnsi="Arial" w:cs="Arial"/>
          <w:b/>
          <w:bCs/>
          <w:color w:val="4C94D8" w:themeColor="text2" w:themeTint="80"/>
        </w:rPr>
      </w:pPr>
      <w:r w:rsidRPr="00E139B8">
        <w:rPr>
          <w:rFonts w:ascii="Arial" w:hAnsi="Arial" w:cs="Arial"/>
          <w:b/>
          <w:bCs/>
          <w:color w:val="4C94D8" w:themeColor="text2" w:themeTint="80"/>
        </w:rPr>
        <w:t>Guidance for RDFIs</w:t>
      </w:r>
    </w:p>
    <w:p w14:paraId="75B3363C" w14:textId="77777777" w:rsidR="005C6423" w:rsidRPr="005C6423" w:rsidRDefault="005C6423" w:rsidP="005C6423">
      <w:pPr>
        <w:spacing w:line="240" w:lineRule="auto"/>
        <w:contextualSpacing/>
        <w:rPr>
          <w:rFonts w:ascii="Arial" w:hAnsi="Arial" w:cs="Arial"/>
          <w:sz w:val="22"/>
          <w:szCs w:val="22"/>
        </w:rPr>
      </w:pPr>
    </w:p>
    <w:p w14:paraId="3D4A3EA1" w14:textId="77777777" w:rsidR="002D26CF" w:rsidRDefault="005C6423" w:rsidP="002D26CF">
      <w:pPr>
        <w:spacing w:line="240" w:lineRule="auto"/>
        <w:contextualSpacing/>
        <w:rPr>
          <w:rFonts w:ascii="Arial" w:hAnsi="Arial" w:cs="Arial"/>
          <w:sz w:val="22"/>
          <w:szCs w:val="22"/>
        </w:rPr>
      </w:pPr>
      <w:r>
        <w:rPr>
          <w:rFonts w:ascii="Arial" w:hAnsi="Arial" w:cs="Arial"/>
          <w:sz w:val="22"/>
          <w:szCs w:val="22"/>
        </w:rPr>
        <w:t xml:space="preserve">The RDFI is in the best position to know their </w:t>
      </w:r>
      <w:r w:rsidR="00B35FF8">
        <w:rPr>
          <w:rFonts w:ascii="Arial" w:hAnsi="Arial" w:cs="Arial"/>
          <w:sz w:val="22"/>
          <w:szCs w:val="22"/>
        </w:rPr>
        <w:t>account holders from the due diligence</w:t>
      </w:r>
      <w:r w:rsidR="000822FF">
        <w:rPr>
          <w:rFonts w:ascii="Arial" w:hAnsi="Arial" w:cs="Arial"/>
          <w:sz w:val="22"/>
          <w:szCs w:val="22"/>
        </w:rPr>
        <w:t xml:space="preserve"> during account opening, </w:t>
      </w:r>
      <w:r w:rsidR="002B0AAF">
        <w:rPr>
          <w:rFonts w:ascii="Arial" w:hAnsi="Arial" w:cs="Arial"/>
          <w:sz w:val="22"/>
          <w:szCs w:val="22"/>
        </w:rPr>
        <w:t xml:space="preserve">continued interactions with them, and hosting deposit data to review for trends or patterns.  </w:t>
      </w:r>
    </w:p>
    <w:p w14:paraId="22D2296D" w14:textId="77777777" w:rsidR="002D26CF" w:rsidRDefault="002D26CF" w:rsidP="002D26CF">
      <w:pPr>
        <w:spacing w:line="240" w:lineRule="auto"/>
        <w:contextualSpacing/>
        <w:rPr>
          <w:rFonts w:ascii="Arial" w:hAnsi="Arial" w:cs="Arial"/>
          <w:sz w:val="22"/>
          <w:szCs w:val="22"/>
        </w:rPr>
      </w:pPr>
    </w:p>
    <w:p w14:paraId="34B8D732" w14:textId="6BB9C651" w:rsidR="002D26CF" w:rsidRDefault="002D26CF" w:rsidP="002D26CF">
      <w:pPr>
        <w:spacing w:line="240" w:lineRule="auto"/>
        <w:contextualSpacing/>
        <w:rPr>
          <w:rFonts w:ascii="Arial" w:hAnsi="Arial" w:cs="Arial"/>
          <w:sz w:val="22"/>
          <w:szCs w:val="22"/>
        </w:rPr>
      </w:pPr>
      <w:r w:rsidRPr="003D14C2">
        <w:rPr>
          <w:rFonts w:ascii="Arial" w:hAnsi="Arial" w:cs="Arial"/>
          <w:sz w:val="22"/>
          <w:szCs w:val="22"/>
        </w:rPr>
        <w:t xml:space="preserve">RDFIs should consider their own risk profile while considering the size and quantity of </w:t>
      </w:r>
      <w:r w:rsidR="002E2A4F">
        <w:rPr>
          <w:rFonts w:ascii="Arial" w:hAnsi="Arial" w:cs="Arial"/>
          <w:sz w:val="22"/>
          <w:szCs w:val="22"/>
        </w:rPr>
        <w:t xml:space="preserve">account holders </w:t>
      </w:r>
      <w:r w:rsidR="008719F9">
        <w:rPr>
          <w:rFonts w:ascii="Arial" w:hAnsi="Arial" w:cs="Arial"/>
          <w:sz w:val="22"/>
          <w:szCs w:val="22"/>
        </w:rPr>
        <w:t xml:space="preserve">and deposit accounts </w:t>
      </w:r>
      <w:r w:rsidRPr="003D14C2">
        <w:rPr>
          <w:rFonts w:ascii="Arial" w:hAnsi="Arial" w:cs="Arial"/>
          <w:sz w:val="22"/>
          <w:szCs w:val="22"/>
        </w:rPr>
        <w:t xml:space="preserve">for establishing their own risk-based processes and procedures.  </w:t>
      </w:r>
    </w:p>
    <w:p w14:paraId="034272DF" w14:textId="77777777" w:rsidR="003D14C2" w:rsidRDefault="003D14C2" w:rsidP="002D26CF">
      <w:pPr>
        <w:spacing w:line="240" w:lineRule="auto"/>
        <w:contextualSpacing/>
        <w:rPr>
          <w:rFonts w:ascii="Arial" w:hAnsi="Arial" w:cs="Arial"/>
          <w:sz w:val="22"/>
          <w:szCs w:val="22"/>
        </w:rPr>
      </w:pPr>
    </w:p>
    <w:p w14:paraId="7C3D1104" w14:textId="32A6F0C2" w:rsidR="003D14C2" w:rsidRDefault="006305CF" w:rsidP="002D26CF">
      <w:pPr>
        <w:spacing w:line="240" w:lineRule="auto"/>
        <w:contextualSpacing/>
        <w:rPr>
          <w:rFonts w:ascii="Arial" w:hAnsi="Arial" w:cs="Arial"/>
          <w:sz w:val="22"/>
          <w:szCs w:val="22"/>
        </w:rPr>
      </w:pPr>
      <w:r>
        <w:rPr>
          <w:rFonts w:ascii="Arial" w:hAnsi="Arial" w:cs="Arial"/>
          <w:sz w:val="22"/>
          <w:szCs w:val="22"/>
        </w:rPr>
        <w:t>Red flags for an RDFI to consider with received ACH credits:</w:t>
      </w:r>
    </w:p>
    <w:p w14:paraId="5E84F489" w14:textId="1771D6A2" w:rsidR="00125D3C" w:rsidRDefault="00365D14" w:rsidP="006305CF">
      <w:pPr>
        <w:pStyle w:val="ListParagraph"/>
        <w:numPr>
          <w:ilvl w:val="0"/>
          <w:numId w:val="17"/>
        </w:numPr>
        <w:spacing w:line="240" w:lineRule="auto"/>
        <w:rPr>
          <w:rFonts w:ascii="Arial" w:hAnsi="Arial" w:cs="Arial"/>
          <w:sz w:val="22"/>
          <w:szCs w:val="22"/>
        </w:rPr>
      </w:pPr>
      <w:r>
        <w:rPr>
          <w:rFonts w:ascii="Arial" w:hAnsi="Arial" w:cs="Arial"/>
          <w:sz w:val="22"/>
          <w:szCs w:val="22"/>
        </w:rPr>
        <w:t>Aggressive new account activity</w:t>
      </w:r>
    </w:p>
    <w:p w14:paraId="12763B04" w14:textId="19F28124" w:rsidR="00365D14" w:rsidRDefault="00365D14" w:rsidP="006305CF">
      <w:pPr>
        <w:pStyle w:val="ListParagraph"/>
        <w:numPr>
          <w:ilvl w:val="0"/>
          <w:numId w:val="17"/>
        </w:numPr>
        <w:spacing w:line="240" w:lineRule="auto"/>
        <w:rPr>
          <w:rFonts w:ascii="Arial" w:hAnsi="Arial" w:cs="Arial"/>
          <w:sz w:val="22"/>
          <w:szCs w:val="22"/>
        </w:rPr>
      </w:pPr>
      <w:r>
        <w:rPr>
          <w:rFonts w:ascii="Arial" w:hAnsi="Arial" w:cs="Arial"/>
          <w:sz w:val="22"/>
          <w:szCs w:val="22"/>
        </w:rPr>
        <w:t>Sudden activity from dormant account</w:t>
      </w:r>
    </w:p>
    <w:p w14:paraId="3E8C5048" w14:textId="68B753D0" w:rsidR="008E0D71" w:rsidRDefault="008E0D71" w:rsidP="006305CF">
      <w:pPr>
        <w:pStyle w:val="ListParagraph"/>
        <w:numPr>
          <w:ilvl w:val="0"/>
          <w:numId w:val="17"/>
        </w:numPr>
        <w:spacing w:line="240" w:lineRule="auto"/>
        <w:rPr>
          <w:rFonts w:ascii="Arial" w:hAnsi="Arial" w:cs="Arial"/>
          <w:sz w:val="22"/>
          <w:szCs w:val="22"/>
        </w:rPr>
      </w:pPr>
      <w:r>
        <w:rPr>
          <w:rFonts w:ascii="Arial" w:hAnsi="Arial" w:cs="Arial"/>
          <w:sz w:val="22"/>
          <w:szCs w:val="22"/>
        </w:rPr>
        <w:t>Sense of urgency to withdraw or transfer large amount received</w:t>
      </w:r>
    </w:p>
    <w:p w14:paraId="4692A19D" w14:textId="1F997E09" w:rsidR="006305CF" w:rsidRDefault="00C366CC" w:rsidP="006305CF">
      <w:pPr>
        <w:pStyle w:val="ListParagraph"/>
        <w:numPr>
          <w:ilvl w:val="0"/>
          <w:numId w:val="17"/>
        </w:numPr>
        <w:spacing w:line="240" w:lineRule="auto"/>
        <w:rPr>
          <w:rFonts w:ascii="Arial" w:hAnsi="Arial" w:cs="Arial"/>
          <w:sz w:val="22"/>
          <w:szCs w:val="22"/>
        </w:rPr>
      </w:pPr>
      <w:r>
        <w:rPr>
          <w:rFonts w:ascii="Arial" w:hAnsi="Arial" w:cs="Arial"/>
          <w:sz w:val="22"/>
          <w:szCs w:val="22"/>
        </w:rPr>
        <w:t>Atypical activity from usual account behavior</w:t>
      </w:r>
    </w:p>
    <w:p w14:paraId="36E73094" w14:textId="35721561" w:rsidR="00C366CC" w:rsidRDefault="00125D3C" w:rsidP="006305CF">
      <w:pPr>
        <w:pStyle w:val="ListParagraph"/>
        <w:numPr>
          <w:ilvl w:val="0"/>
          <w:numId w:val="17"/>
        </w:numPr>
        <w:spacing w:line="240" w:lineRule="auto"/>
        <w:rPr>
          <w:rFonts w:ascii="Arial" w:hAnsi="Arial" w:cs="Arial"/>
          <w:sz w:val="22"/>
          <w:szCs w:val="22"/>
        </w:rPr>
      </w:pPr>
      <w:r>
        <w:rPr>
          <w:rFonts w:ascii="Arial" w:hAnsi="Arial" w:cs="Arial"/>
          <w:sz w:val="22"/>
          <w:szCs w:val="22"/>
        </w:rPr>
        <w:t>SEC code</w:t>
      </w:r>
      <w:r w:rsidR="00365D14">
        <w:rPr>
          <w:rFonts w:ascii="Arial" w:hAnsi="Arial" w:cs="Arial"/>
          <w:sz w:val="22"/>
          <w:szCs w:val="22"/>
        </w:rPr>
        <w:t xml:space="preserve"> mix-up (CCDs to personal account</w:t>
      </w:r>
      <w:r w:rsidR="00B35D69">
        <w:rPr>
          <w:rFonts w:ascii="Arial" w:hAnsi="Arial" w:cs="Arial"/>
          <w:sz w:val="22"/>
          <w:szCs w:val="22"/>
        </w:rPr>
        <w:t>)</w:t>
      </w:r>
    </w:p>
    <w:p w14:paraId="5FA2E69E" w14:textId="63FA0AE4" w:rsidR="00B35D69" w:rsidRDefault="008949ED" w:rsidP="006305CF">
      <w:pPr>
        <w:pStyle w:val="ListParagraph"/>
        <w:numPr>
          <w:ilvl w:val="0"/>
          <w:numId w:val="17"/>
        </w:numPr>
        <w:spacing w:line="240" w:lineRule="auto"/>
        <w:rPr>
          <w:rFonts w:ascii="Arial" w:hAnsi="Arial" w:cs="Arial"/>
          <w:sz w:val="22"/>
          <w:szCs w:val="22"/>
        </w:rPr>
      </w:pPr>
      <w:r>
        <w:rPr>
          <w:rFonts w:ascii="Arial" w:hAnsi="Arial" w:cs="Arial"/>
          <w:sz w:val="22"/>
          <w:szCs w:val="22"/>
        </w:rPr>
        <w:t xml:space="preserve">Clusters of received </w:t>
      </w:r>
      <w:r w:rsidR="00E139B8">
        <w:rPr>
          <w:rFonts w:ascii="Arial" w:hAnsi="Arial" w:cs="Arial"/>
          <w:sz w:val="22"/>
          <w:szCs w:val="22"/>
        </w:rPr>
        <w:t>payments</w:t>
      </w:r>
    </w:p>
    <w:p w14:paraId="05EB2FC3" w14:textId="66CBBCC0" w:rsidR="00E139B8" w:rsidRDefault="00E139B8" w:rsidP="006305CF">
      <w:pPr>
        <w:pStyle w:val="ListParagraph"/>
        <w:numPr>
          <w:ilvl w:val="0"/>
          <w:numId w:val="17"/>
        </w:numPr>
        <w:spacing w:line="240" w:lineRule="auto"/>
        <w:rPr>
          <w:rFonts w:ascii="Arial" w:hAnsi="Arial" w:cs="Arial"/>
          <w:sz w:val="22"/>
          <w:szCs w:val="22"/>
        </w:rPr>
      </w:pPr>
      <w:r>
        <w:rPr>
          <w:rFonts w:ascii="Arial" w:hAnsi="Arial" w:cs="Arial"/>
          <w:sz w:val="22"/>
          <w:szCs w:val="22"/>
        </w:rPr>
        <w:t>Name mismatch</w:t>
      </w:r>
    </w:p>
    <w:p w14:paraId="720F75D5" w14:textId="77777777" w:rsidR="00971D96" w:rsidRDefault="00971D96" w:rsidP="00971D96">
      <w:pPr>
        <w:spacing w:line="240" w:lineRule="auto"/>
        <w:rPr>
          <w:rFonts w:ascii="Arial" w:hAnsi="Arial" w:cs="Arial"/>
          <w:sz w:val="22"/>
          <w:szCs w:val="22"/>
        </w:rPr>
      </w:pPr>
    </w:p>
    <w:p w14:paraId="6EFF44EF" w14:textId="61837BC9" w:rsidR="00971D96" w:rsidRPr="00930FC4" w:rsidRDefault="00971D96" w:rsidP="00971D96">
      <w:pPr>
        <w:spacing w:line="240" w:lineRule="auto"/>
        <w:rPr>
          <w:rFonts w:ascii="Arial" w:hAnsi="Arial" w:cs="Arial"/>
          <w:b/>
          <w:bCs/>
          <w:color w:val="4C94D8" w:themeColor="text2" w:themeTint="80"/>
        </w:rPr>
      </w:pPr>
      <w:r w:rsidRPr="00930FC4">
        <w:rPr>
          <w:rFonts w:ascii="Arial" w:hAnsi="Arial" w:cs="Arial"/>
          <w:b/>
          <w:bCs/>
          <w:color w:val="4C94D8" w:themeColor="text2" w:themeTint="80"/>
        </w:rPr>
        <w:lastRenderedPageBreak/>
        <w:t>Escalation of Suspected Fraud by RDFI</w:t>
      </w:r>
    </w:p>
    <w:p w14:paraId="1F3BE2D6" w14:textId="16946835" w:rsidR="001B0DE7" w:rsidRDefault="009B2CAB" w:rsidP="005C6423">
      <w:pPr>
        <w:spacing w:line="240" w:lineRule="auto"/>
        <w:contextualSpacing/>
        <w:rPr>
          <w:rFonts w:ascii="Arial" w:hAnsi="Arial" w:cs="Arial"/>
          <w:sz w:val="22"/>
          <w:szCs w:val="22"/>
        </w:rPr>
      </w:pPr>
      <w:r>
        <w:rPr>
          <w:rFonts w:ascii="Arial" w:hAnsi="Arial" w:cs="Arial"/>
          <w:sz w:val="22"/>
          <w:szCs w:val="22"/>
        </w:rPr>
        <w:t>The 10/1/24 and 4/1/25 Nacha Rules up</w:t>
      </w:r>
      <w:r w:rsidR="00FC6B7B">
        <w:rPr>
          <w:rFonts w:ascii="Arial" w:hAnsi="Arial" w:cs="Arial"/>
          <w:sz w:val="22"/>
          <w:szCs w:val="22"/>
        </w:rPr>
        <w:t>dates provided several response capabilities f</w:t>
      </w:r>
      <w:r w:rsidR="0038110E">
        <w:rPr>
          <w:rFonts w:ascii="Arial" w:hAnsi="Arial" w:cs="Arial"/>
          <w:sz w:val="22"/>
          <w:szCs w:val="22"/>
        </w:rPr>
        <w:t xml:space="preserve">or suspected </w:t>
      </w:r>
      <w:r w:rsidR="001B3266">
        <w:rPr>
          <w:rFonts w:ascii="Arial" w:hAnsi="Arial" w:cs="Arial"/>
          <w:sz w:val="22"/>
          <w:szCs w:val="22"/>
        </w:rPr>
        <w:t>as unauthorized or authorized due to False Pretenses</w:t>
      </w:r>
      <w:r w:rsidR="0038110E">
        <w:rPr>
          <w:rFonts w:ascii="Arial" w:hAnsi="Arial" w:cs="Arial"/>
          <w:sz w:val="22"/>
          <w:szCs w:val="22"/>
        </w:rPr>
        <w:t>, whether they detect it or not:</w:t>
      </w:r>
    </w:p>
    <w:p w14:paraId="0CA676F5" w14:textId="77777777" w:rsidR="000D53D8" w:rsidRDefault="001B3266" w:rsidP="000D53D8">
      <w:pPr>
        <w:pStyle w:val="ListParagraph"/>
        <w:numPr>
          <w:ilvl w:val="0"/>
          <w:numId w:val="18"/>
        </w:numPr>
        <w:spacing w:line="240" w:lineRule="auto"/>
        <w:rPr>
          <w:rFonts w:ascii="Arial" w:hAnsi="Arial" w:cs="Arial"/>
          <w:sz w:val="22"/>
          <w:szCs w:val="22"/>
        </w:rPr>
      </w:pPr>
      <w:r>
        <w:rPr>
          <w:rFonts w:ascii="Arial" w:hAnsi="Arial" w:cs="Arial"/>
          <w:sz w:val="22"/>
          <w:szCs w:val="22"/>
        </w:rPr>
        <w:t>Subsection 3.3.</w:t>
      </w:r>
      <w:r w:rsidR="007E1B40">
        <w:rPr>
          <w:rFonts w:ascii="Arial" w:hAnsi="Arial" w:cs="Arial"/>
          <w:sz w:val="22"/>
          <w:szCs w:val="22"/>
        </w:rPr>
        <w:t xml:space="preserve">1:  </w:t>
      </w:r>
      <w:r w:rsidR="00C5641D">
        <w:rPr>
          <w:rFonts w:ascii="Arial" w:hAnsi="Arial" w:cs="Arial"/>
          <w:sz w:val="22"/>
          <w:szCs w:val="22"/>
        </w:rPr>
        <w:t xml:space="preserve">RDFIs may exempt suspected credits from funds availability requirements and in doing so, must </w:t>
      </w:r>
      <w:r w:rsidR="000D53D8">
        <w:rPr>
          <w:rFonts w:ascii="Arial" w:hAnsi="Arial" w:cs="Arial"/>
          <w:sz w:val="22"/>
          <w:szCs w:val="22"/>
        </w:rPr>
        <w:t>take reasonable attempts to promptly notify ODFI</w:t>
      </w:r>
    </w:p>
    <w:p w14:paraId="7BEBE635" w14:textId="279C0ADA" w:rsidR="000D53D8" w:rsidRDefault="000D53D8" w:rsidP="00002E32">
      <w:pPr>
        <w:pStyle w:val="ListParagraph"/>
        <w:spacing w:line="240" w:lineRule="auto"/>
        <w:rPr>
          <w:rFonts w:ascii="Arial" w:hAnsi="Arial" w:cs="Arial"/>
          <w:sz w:val="22"/>
          <w:szCs w:val="22"/>
        </w:rPr>
      </w:pPr>
    </w:p>
    <w:p w14:paraId="3962FDCA" w14:textId="036A7F23" w:rsidR="0038110E" w:rsidRDefault="004F482E" w:rsidP="000D53D8">
      <w:pPr>
        <w:pStyle w:val="ListParagraph"/>
        <w:numPr>
          <w:ilvl w:val="0"/>
          <w:numId w:val="18"/>
        </w:numPr>
        <w:spacing w:line="240" w:lineRule="auto"/>
        <w:rPr>
          <w:rFonts w:ascii="Arial" w:hAnsi="Arial" w:cs="Arial"/>
          <w:sz w:val="22"/>
          <w:szCs w:val="22"/>
        </w:rPr>
      </w:pPr>
      <w:r>
        <w:rPr>
          <w:rFonts w:ascii="Arial" w:hAnsi="Arial" w:cs="Arial"/>
          <w:sz w:val="22"/>
          <w:szCs w:val="22"/>
        </w:rPr>
        <w:t xml:space="preserve">Appendix </w:t>
      </w:r>
      <w:r w:rsidR="00AA151B">
        <w:rPr>
          <w:rFonts w:ascii="Arial" w:hAnsi="Arial" w:cs="Arial"/>
          <w:sz w:val="22"/>
          <w:szCs w:val="22"/>
        </w:rPr>
        <w:t xml:space="preserve">Four – Return Entries:  R17 </w:t>
      </w:r>
      <w:r w:rsidR="007B3863">
        <w:rPr>
          <w:rFonts w:ascii="Arial" w:hAnsi="Arial" w:cs="Arial"/>
          <w:sz w:val="22"/>
          <w:szCs w:val="22"/>
        </w:rPr>
        <w:t xml:space="preserve">now includes authorized under False Pretenses in addition to </w:t>
      </w:r>
      <w:r w:rsidR="00002E32">
        <w:rPr>
          <w:rFonts w:ascii="Arial" w:hAnsi="Arial" w:cs="Arial"/>
          <w:sz w:val="22"/>
          <w:szCs w:val="22"/>
        </w:rPr>
        <w:t>being unauthorized</w:t>
      </w:r>
      <w:r w:rsidR="00C87EEB" w:rsidRPr="000D53D8">
        <w:rPr>
          <w:rFonts w:ascii="Arial" w:hAnsi="Arial" w:cs="Arial"/>
          <w:sz w:val="22"/>
          <w:szCs w:val="22"/>
        </w:rPr>
        <w:t xml:space="preserve"> </w:t>
      </w:r>
    </w:p>
    <w:p w14:paraId="0907B194" w14:textId="77777777" w:rsidR="00002E32" w:rsidRPr="00002E32" w:rsidRDefault="00002E32" w:rsidP="00002E32">
      <w:pPr>
        <w:pStyle w:val="ListParagraph"/>
        <w:rPr>
          <w:rFonts w:ascii="Arial" w:hAnsi="Arial" w:cs="Arial"/>
          <w:sz w:val="22"/>
          <w:szCs w:val="22"/>
        </w:rPr>
      </w:pPr>
    </w:p>
    <w:p w14:paraId="7C8315D6" w14:textId="284372DB" w:rsidR="001B0DE7" w:rsidRPr="000779B6" w:rsidRDefault="00FC50DB" w:rsidP="00576004">
      <w:pPr>
        <w:spacing w:line="240" w:lineRule="auto"/>
        <w:contextualSpacing/>
        <w:rPr>
          <w:rFonts w:ascii="Arial" w:hAnsi="Arial" w:cs="Arial"/>
          <w:b/>
          <w:bCs/>
          <w:color w:val="4C94D8" w:themeColor="text2" w:themeTint="80"/>
        </w:rPr>
      </w:pPr>
      <w:r w:rsidRPr="000779B6">
        <w:rPr>
          <w:rFonts w:ascii="Arial" w:hAnsi="Arial" w:cs="Arial"/>
          <w:b/>
          <w:bCs/>
          <w:color w:val="4C94D8" w:themeColor="text2" w:themeTint="80"/>
        </w:rPr>
        <w:t>Other RDFI Considerations</w:t>
      </w:r>
    </w:p>
    <w:p w14:paraId="69F52C4B" w14:textId="77777777" w:rsidR="00576004" w:rsidRDefault="00576004" w:rsidP="00576004">
      <w:pPr>
        <w:spacing w:line="240" w:lineRule="auto"/>
        <w:contextualSpacing/>
        <w:rPr>
          <w:rFonts w:ascii="Arial" w:hAnsi="Arial" w:cs="Arial"/>
          <w:sz w:val="22"/>
          <w:szCs w:val="22"/>
        </w:rPr>
      </w:pPr>
    </w:p>
    <w:p w14:paraId="17FD97C6" w14:textId="30C7542E" w:rsidR="00FC50DB" w:rsidRPr="00576004" w:rsidRDefault="005E69F0" w:rsidP="00576004">
      <w:pPr>
        <w:spacing w:line="240" w:lineRule="auto"/>
        <w:contextualSpacing/>
        <w:rPr>
          <w:rFonts w:ascii="Arial" w:hAnsi="Arial" w:cs="Arial"/>
          <w:sz w:val="22"/>
          <w:szCs w:val="22"/>
        </w:rPr>
      </w:pPr>
      <w:r w:rsidRPr="00576004">
        <w:rPr>
          <w:rFonts w:ascii="Arial" w:hAnsi="Arial" w:cs="Arial"/>
          <w:sz w:val="22"/>
          <w:szCs w:val="22"/>
        </w:rPr>
        <w:t>Controls for early funds availability</w:t>
      </w:r>
    </w:p>
    <w:p w14:paraId="48743A3C" w14:textId="524227E1" w:rsidR="005E69F0" w:rsidRPr="004055C2" w:rsidRDefault="00417F12" w:rsidP="004055C2">
      <w:pPr>
        <w:pStyle w:val="ListParagraph"/>
        <w:numPr>
          <w:ilvl w:val="0"/>
          <w:numId w:val="19"/>
        </w:numPr>
        <w:spacing w:line="240" w:lineRule="auto"/>
        <w:rPr>
          <w:rFonts w:ascii="Arial" w:hAnsi="Arial" w:cs="Arial"/>
          <w:sz w:val="20"/>
          <w:szCs w:val="20"/>
        </w:rPr>
      </w:pPr>
      <w:r w:rsidRPr="004055C2">
        <w:rPr>
          <w:rFonts w:ascii="Arial" w:hAnsi="Arial" w:cs="Arial"/>
          <w:sz w:val="20"/>
          <w:szCs w:val="20"/>
        </w:rPr>
        <w:t>By account type:  Consumer vs. Non-Consumer</w:t>
      </w:r>
    </w:p>
    <w:p w14:paraId="72132DEF" w14:textId="16A52193" w:rsidR="00576004" w:rsidRDefault="000779B6" w:rsidP="004055C2">
      <w:pPr>
        <w:pStyle w:val="ListParagraph"/>
        <w:numPr>
          <w:ilvl w:val="0"/>
          <w:numId w:val="19"/>
        </w:numPr>
        <w:spacing w:line="240" w:lineRule="auto"/>
        <w:rPr>
          <w:rFonts w:ascii="Arial" w:hAnsi="Arial" w:cs="Arial"/>
          <w:sz w:val="20"/>
          <w:szCs w:val="20"/>
        </w:rPr>
      </w:pPr>
      <w:r w:rsidRPr="004055C2">
        <w:rPr>
          <w:rFonts w:ascii="Arial" w:hAnsi="Arial" w:cs="Arial"/>
          <w:sz w:val="20"/>
          <w:szCs w:val="20"/>
        </w:rPr>
        <w:t>By types of deposits</w:t>
      </w:r>
      <w:r w:rsidR="00576004" w:rsidRPr="004055C2">
        <w:rPr>
          <w:rFonts w:ascii="Arial" w:hAnsi="Arial" w:cs="Arial"/>
          <w:sz w:val="20"/>
          <w:szCs w:val="20"/>
        </w:rPr>
        <w:t>, such as SEC code or by description (“Payroll”)</w:t>
      </w:r>
    </w:p>
    <w:p w14:paraId="6DF349D7" w14:textId="5D8EC254" w:rsidR="004055C2" w:rsidRDefault="00F608A5" w:rsidP="004055C2">
      <w:pPr>
        <w:pStyle w:val="ListParagraph"/>
        <w:numPr>
          <w:ilvl w:val="0"/>
          <w:numId w:val="19"/>
        </w:numPr>
        <w:spacing w:line="240" w:lineRule="auto"/>
        <w:rPr>
          <w:rFonts w:ascii="Arial" w:hAnsi="Arial" w:cs="Arial"/>
          <w:sz w:val="20"/>
          <w:szCs w:val="20"/>
        </w:rPr>
      </w:pPr>
      <w:r>
        <w:rPr>
          <w:rFonts w:ascii="Arial" w:hAnsi="Arial" w:cs="Arial"/>
          <w:sz w:val="20"/>
          <w:szCs w:val="20"/>
        </w:rPr>
        <w:t xml:space="preserve">Provide benefit for established </w:t>
      </w:r>
      <w:r w:rsidR="00093CFC">
        <w:rPr>
          <w:rFonts w:ascii="Arial" w:hAnsi="Arial" w:cs="Arial"/>
          <w:sz w:val="20"/>
          <w:szCs w:val="20"/>
        </w:rPr>
        <w:t xml:space="preserve">active </w:t>
      </w:r>
      <w:r w:rsidR="00142D29">
        <w:rPr>
          <w:rFonts w:ascii="Arial" w:hAnsi="Arial" w:cs="Arial"/>
          <w:sz w:val="20"/>
          <w:szCs w:val="20"/>
        </w:rPr>
        <w:t>account holders versus newer</w:t>
      </w:r>
      <w:r w:rsidR="00093CFC">
        <w:rPr>
          <w:rFonts w:ascii="Arial" w:hAnsi="Arial" w:cs="Arial"/>
          <w:sz w:val="20"/>
          <w:szCs w:val="20"/>
        </w:rPr>
        <w:t xml:space="preserve"> or dormant/inactive</w:t>
      </w:r>
    </w:p>
    <w:p w14:paraId="52A75276" w14:textId="5EC9725D" w:rsidR="00093CFC" w:rsidRDefault="00093CFC" w:rsidP="004055C2">
      <w:pPr>
        <w:pStyle w:val="ListParagraph"/>
        <w:numPr>
          <w:ilvl w:val="0"/>
          <w:numId w:val="19"/>
        </w:numPr>
        <w:spacing w:line="240" w:lineRule="auto"/>
        <w:rPr>
          <w:rFonts w:ascii="Arial" w:hAnsi="Arial" w:cs="Arial"/>
          <w:sz w:val="20"/>
          <w:szCs w:val="20"/>
        </w:rPr>
      </w:pPr>
      <w:r>
        <w:rPr>
          <w:rFonts w:ascii="Arial" w:hAnsi="Arial" w:cs="Arial"/>
          <w:sz w:val="20"/>
          <w:szCs w:val="20"/>
        </w:rPr>
        <w:t xml:space="preserve">Limits on what is </w:t>
      </w:r>
      <w:r w:rsidR="00752639">
        <w:rPr>
          <w:rFonts w:ascii="Arial" w:hAnsi="Arial" w:cs="Arial"/>
          <w:sz w:val="20"/>
          <w:szCs w:val="20"/>
        </w:rPr>
        <w:t>offered early before settlement</w:t>
      </w:r>
    </w:p>
    <w:p w14:paraId="25B61D00" w14:textId="55A96A01" w:rsidR="00752639" w:rsidRPr="00C47130" w:rsidRDefault="00C47130" w:rsidP="00752639">
      <w:pPr>
        <w:spacing w:line="240" w:lineRule="auto"/>
        <w:rPr>
          <w:rFonts w:ascii="Arial" w:hAnsi="Arial" w:cs="Arial"/>
          <w:sz w:val="22"/>
          <w:szCs w:val="22"/>
        </w:rPr>
      </w:pPr>
      <w:r w:rsidRPr="00C47130">
        <w:rPr>
          <w:rFonts w:ascii="Arial" w:hAnsi="Arial" w:cs="Arial"/>
          <w:sz w:val="22"/>
          <w:szCs w:val="22"/>
        </w:rPr>
        <w:t>Int</w:t>
      </w:r>
      <w:r w:rsidR="00D7258B">
        <w:rPr>
          <w:rFonts w:ascii="Arial" w:hAnsi="Arial" w:cs="Arial"/>
          <w:sz w:val="22"/>
          <w:szCs w:val="22"/>
        </w:rPr>
        <w:t>er</w:t>
      </w:r>
      <w:r w:rsidRPr="00C47130">
        <w:rPr>
          <w:rFonts w:ascii="Arial" w:hAnsi="Arial" w:cs="Arial"/>
          <w:sz w:val="22"/>
          <w:szCs w:val="22"/>
        </w:rPr>
        <w:t>departmental communications</w:t>
      </w:r>
    </w:p>
    <w:p w14:paraId="56CED57B" w14:textId="001C2090" w:rsidR="00C47130" w:rsidRDefault="00274B17" w:rsidP="00C47130">
      <w:pPr>
        <w:pStyle w:val="ListParagraph"/>
        <w:numPr>
          <w:ilvl w:val="0"/>
          <w:numId w:val="20"/>
        </w:numPr>
        <w:spacing w:line="240" w:lineRule="auto"/>
        <w:rPr>
          <w:rFonts w:ascii="Arial" w:hAnsi="Arial" w:cs="Arial"/>
          <w:sz w:val="20"/>
          <w:szCs w:val="20"/>
        </w:rPr>
      </w:pPr>
      <w:r>
        <w:rPr>
          <w:rFonts w:ascii="Arial" w:hAnsi="Arial" w:cs="Arial"/>
          <w:sz w:val="20"/>
          <w:szCs w:val="20"/>
        </w:rPr>
        <w:t xml:space="preserve">Clear lines of communication between </w:t>
      </w:r>
      <w:r w:rsidR="0062275D">
        <w:rPr>
          <w:rFonts w:ascii="Arial" w:hAnsi="Arial" w:cs="Arial"/>
          <w:sz w:val="20"/>
          <w:szCs w:val="20"/>
        </w:rPr>
        <w:t>frontline and departments to understand roles and responsibilities</w:t>
      </w:r>
      <w:r w:rsidR="00AD2151">
        <w:rPr>
          <w:rFonts w:ascii="Arial" w:hAnsi="Arial" w:cs="Arial"/>
          <w:sz w:val="20"/>
          <w:szCs w:val="20"/>
        </w:rPr>
        <w:t xml:space="preserve"> with ongoing transaction monitoring and </w:t>
      </w:r>
      <w:r w:rsidR="003026E6">
        <w:rPr>
          <w:rFonts w:ascii="Arial" w:hAnsi="Arial" w:cs="Arial"/>
          <w:sz w:val="20"/>
          <w:szCs w:val="20"/>
        </w:rPr>
        <w:t>escalation of a suspected credit</w:t>
      </w:r>
    </w:p>
    <w:p w14:paraId="4481A910" w14:textId="1396862A" w:rsidR="006D1B3B" w:rsidRPr="00EE0400" w:rsidRDefault="006E203A" w:rsidP="006E203A">
      <w:pPr>
        <w:spacing w:line="240" w:lineRule="auto"/>
        <w:rPr>
          <w:rFonts w:ascii="Arial" w:hAnsi="Arial" w:cs="Arial"/>
          <w:sz w:val="22"/>
          <w:szCs w:val="22"/>
        </w:rPr>
      </w:pPr>
      <w:r w:rsidRPr="00EE0400">
        <w:rPr>
          <w:rFonts w:ascii="Arial" w:hAnsi="Arial" w:cs="Arial"/>
          <w:sz w:val="22"/>
          <w:szCs w:val="22"/>
        </w:rPr>
        <w:t>Implement procedures and processes for responding to suspected ACH credits:</w:t>
      </w:r>
    </w:p>
    <w:p w14:paraId="21A6D1F2" w14:textId="5F548F03" w:rsidR="00285627" w:rsidRDefault="00285627" w:rsidP="00285627">
      <w:pPr>
        <w:pStyle w:val="ListParagraph"/>
        <w:numPr>
          <w:ilvl w:val="0"/>
          <w:numId w:val="20"/>
        </w:numPr>
        <w:spacing w:line="240" w:lineRule="auto"/>
        <w:rPr>
          <w:rFonts w:ascii="Arial" w:hAnsi="Arial" w:cs="Arial"/>
          <w:sz w:val="20"/>
          <w:szCs w:val="20"/>
        </w:rPr>
      </w:pPr>
      <w:r>
        <w:rPr>
          <w:rFonts w:ascii="Arial" w:hAnsi="Arial" w:cs="Arial"/>
          <w:sz w:val="20"/>
          <w:szCs w:val="20"/>
        </w:rPr>
        <w:t>Establish when escalation is necessar</w:t>
      </w:r>
      <w:r w:rsidR="007C63D1">
        <w:rPr>
          <w:rFonts w:ascii="Arial" w:hAnsi="Arial" w:cs="Arial"/>
          <w:sz w:val="20"/>
          <w:szCs w:val="20"/>
        </w:rPr>
        <w:t xml:space="preserve">y, how entries are escalated (method/timing), </w:t>
      </w:r>
      <w:r w:rsidR="00291F63">
        <w:rPr>
          <w:rFonts w:ascii="Arial" w:hAnsi="Arial" w:cs="Arial"/>
          <w:sz w:val="20"/>
          <w:szCs w:val="20"/>
        </w:rPr>
        <w:t xml:space="preserve">to whom they are escalated, and documentation  </w:t>
      </w:r>
    </w:p>
    <w:p w14:paraId="7BFB4216" w14:textId="29BF0EC8" w:rsidR="00285627" w:rsidRPr="00285627" w:rsidRDefault="00A64113" w:rsidP="00285627">
      <w:pPr>
        <w:pStyle w:val="ListParagraph"/>
        <w:numPr>
          <w:ilvl w:val="0"/>
          <w:numId w:val="20"/>
        </w:numPr>
        <w:spacing w:line="240" w:lineRule="auto"/>
        <w:rPr>
          <w:rFonts w:ascii="Arial" w:hAnsi="Arial" w:cs="Arial"/>
          <w:sz w:val="20"/>
          <w:szCs w:val="20"/>
        </w:rPr>
      </w:pPr>
      <w:r>
        <w:rPr>
          <w:rFonts w:ascii="Arial" w:hAnsi="Arial" w:cs="Arial"/>
          <w:sz w:val="20"/>
          <w:szCs w:val="20"/>
        </w:rPr>
        <w:t>Consider when appropriate reporting, such as FinCEN’s Suspicious Activity Report (SAR) maybe be appropriate or required</w:t>
      </w:r>
    </w:p>
    <w:p w14:paraId="41A3B128" w14:textId="077DE93D" w:rsidR="006E203A" w:rsidRDefault="00EE0400" w:rsidP="006E203A">
      <w:pPr>
        <w:pStyle w:val="ListParagraph"/>
        <w:numPr>
          <w:ilvl w:val="0"/>
          <w:numId w:val="20"/>
        </w:numPr>
        <w:spacing w:line="240" w:lineRule="auto"/>
        <w:rPr>
          <w:rFonts w:ascii="Arial" w:hAnsi="Arial" w:cs="Arial"/>
          <w:sz w:val="20"/>
          <w:szCs w:val="20"/>
        </w:rPr>
      </w:pPr>
      <w:r>
        <w:rPr>
          <w:rFonts w:ascii="Arial" w:hAnsi="Arial" w:cs="Arial"/>
          <w:sz w:val="20"/>
          <w:szCs w:val="20"/>
        </w:rPr>
        <w:t xml:space="preserve">Decide </w:t>
      </w:r>
      <w:proofErr w:type="gramStart"/>
      <w:r>
        <w:rPr>
          <w:rFonts w:ascii="Arial" w:hAnsi="Arial" w:cs="Arial"/>
          <w:sz w:val="20"/>
          <w:szCs w:val="20"/>
        </w:rPr>
        <w:t>if a</w:t>
      </w:r>
      <w:r w:rsidR="003066F8">
        <w:rPr>
          <w:rFonts w:ascii="Arial" w:hAnsi="Arial" w:cs="Arial"/>
          <w:sz w:val="20"/>
          <w:szCs w:val="20"/>
        </w:rPr>
        <w:t>nd when</w:t>
      </w:r>
      <w:proofErr w:type="gramEnd"/>
      <w:r w:rsidR="003066F8">
        <w:rPr>
          <w:rFonts w:ascii="Arial" w:hAnsi="Arial" w:cs="Arial"/>
          <w:sz w:val="20"/>
          <w:szCs w:val="20"/>
        </w:rPr>
        <w:t xml:space="preserve"> to invoke funds availability exemption (subsection 3.3.1)</w:t>
      </w:r>
    </w:p>
    <w:p w14:paraId="4CC2D43C" w14:textId="49B5D275" w:rsidR="00357A5C" w:rsidRDefault="00396C19" w:rsidP="006E203A">
      <w:pPr>
        <w:pStyle w:val="ListParagraph"/>
        <w:numPr>
          <w:ilvl w:val="0"/>
          <w:numId w:val="20"/>
        </w:numPr>
        <w:spacing w:line="240" w:lineRule="auto"/>
        <w:rPr>
          <w:rFonts w:ascii="Arial" w:hAnsi="Arial" w:cs="Arial"/>
          <w:sz w:val="20"/>
          <w:szCs w:val="20"/>
        </w:rPr>
      </w:pPr>
      <w:r>
        <w:rPr>
          <w:rFonts w:ascii="Arial" w:hAnsi="Arial" w:cs="Arial"/>
          <w:sz w:val="20"/>
          <w:szCs w:val="20"/>
        </w:rPr>
        <w:t>How to contact ODFI (Nacha’s Contact Registry</w:t>
      </w:r>
      <w:r w:rsidR="00EA5EDB">
        <w:rPr>
          <w:rFonts w:ascii="Arial" w:hAnsi="Arial" w:cs="Arial"/>
          <w:sz w:val="20"/>
          <w:szCs w:val="20"/>
        </w:rPr>
        <w:t>, FRB E-Payments Routing Directory, etc.)</w:t>
      </w:r>
    </w:p>
    <w:p w14:paraId="43F3E130" w14:textId="244118DF" w:rsidR="00EA5EDB" w:rsidRDefault="00E744D4" w:rsidP="006E203A">
      <w:pPr>
        <w:pStyle w:val="ListParagraph"/>
        <w:numPr>
          <w:ilvl w:val="0"/>
          <w:numId w:val="20"/>
        </w:numPr>
        <w:spacing w:line="240" w:lineRule="auto"/>
        <w:rPr>
          <w:rFonts w:ascii="Arial" w:hAnsi="Arial" w:cs="Arial"/>
          <w:sz w:val="20"/>
          <w:szCs w:val="20"/>
        </w:rPr>
      </w:pPr>
      <w:r>
        <w:rPr>
          <w:rFonts w:ascii="Arial" w:hAnsi="Arial" w:cs="Arial"/>
          <w:sz w:val="20"/>
          <w:szCs w:val="20"/>
        </w:rPr>
        <w:t xml:space="preserve">Decide involvement of </w:t>
      </w:r>
      <w:r w:rsidR="00A64113">
        <w:rPr>
          <w:rFonts w:ascii="Arial" w:hAnsi="Arial" w:cs="Arial"/>
          <w:sz w:val="20"/>
          <w:szCs w:val="20"/>
        </w:rPr>
        <w:t xml:space="preserve">Receiver’s relationship manager who may </w:t>
      </w:r>
      <w:r w:rsidR="001F7B93">
        <w:rPr>
          <w:rFonts w:ascii="Arial" w:hAnsi="Arial" w:cs="Arial"/>
          <w:sz w:val="20"/>
          <w:szCs w:val="20"/>
        </w:rPr>
        <w:t xml:space="preserve">have valuable insight into </w:t>
      </w:r>
      <w:r w:rsidR="002D5B4C">
        <w:rPr>
          <w:rFonts w:ascii="Arial" w:hAnsi="Arial" w:cs="Arial"/>
          <w:sz w:val="20"/>
          <w:szCs w:val="20"/>
        </w:rPr>
        <w:t>Receiver’s activities</w:t>
      </w:r>
    </w:p>
    <w:p w14:paraId="428CBB0C" w14:textId="22A56340" w:rsidR="002D5B4C" w:rsidRDefault="002D5B4C" w:rsidP="006E203A">
      <w:pPr>
        <w:pStyle w:val="ListParagraph"/>
        <w:numPr>
          <w:ilvl w:val="0"/>
          <w:numId w:val="20"/>
        </w:numPr>
        <w:spacing w:line="240" w:lineRule="auto"/>
        <w:rPr>
          <w:rFonts w:ascii="Arial" w:hAnsi="Arial" w:cs="Arial"/>
          <w:sz w:val="20"/>
          <w:szCs w:val="20"/>
        </w:rPr>
      </w:pPr>
      <w:r>
        <w:rPr>
          <w:rFonts w:ascii="Arial" w:hAnsi="Arial" w:cs="Arial"/>
          <w:sz w:val="20"/>
          <w:szCs w:val="20"/>
        </w:rPr>
        <w:t xml:space="preserve">Consider if/when to involve </w:t>
      </w:r>
      <w:r w:rsidR="00D7258B">
        <w:rPr>
          <w:rFonts w:ascii="Arial" w:hAnsi="Arial" w:cs="Arial"/>
          <w:sz w:val="20"/>
          <w:szCs w:val="20"/>
        </w:rPr>
        <w:t xml:space="preserve">the </w:t>
      </w:r>
      <w:r>
        <w:rPr>
          <w:rFonts w:ascii="Arial" w:hAnsi="Arial" w:cs="Arial"/>
          <w:sz w:val="20"/>
          <w:szCs w:val="20"/>
        </w:rPr>
        <w:t>Receiver</w:t>
      </w:r>
    </w:p>
    <w:p w14:paraId="4CEFA34C" w14:textId="77777777" w:rsidR="00770D11" w:rsidRDefault="00770D11" w:rsidP="00770D11">
      <w:pPr>
        <w:spacing w:line="240" w:lineRule="auto"/>
        <w:rPr>
          <w:rFonts w:ascii="Arial" w:hAnsi="Arial" w:cs="Arial"/>
          <w:sz w:val="20"/>
          <w:szCs w:val="20"/>
        </w:rPr>
      </w:pPr>
    </w:p>
    <w:p w14:paraId="7EFEF459" w14:textId="77777777" w:rsidR="00770D11" w:rsidRDefault="00770D11" w:rsidP="00770D11">
      <w:pPr>
        <w:spacing w:line="240" w:lineRule="auto"/>
        <w:rPr>
          <w:rFonts w:ascii="Arial" w:hAnsi="Arial" w:cs="Arial"/>
          <w:sz w:val="20"/>
          <w:szCs w:val="20"/>
        </w:rPr>
      </w:pPr>
    </w:p>
    <w:p w14:paraId="57BCD79E" w14:textId="77777777" w:rsidR="00770D11" w:rsidRDefault="00770D11" w:rsidP="00770D11">
      <w:pPr>
        <w:spacing w:line="240" w:lineRule="auto"/>
        <w:rPr>
          <w:rFonts w:ascii="Arial" w:hAnsi="Arial" w:cs="Arial"/>
          <w:sz w:val="20"/>
          <w:szCs w:val="20"/>
        </w:rPr>
      </w:pPr>
    </w:p>
    <w:p w14:paraId="029CDC91" w14:textId="15F0F392" w:rsidR="00770D11" w:rsidRPr="00770D11" w:rsidRDefault="00770D11" w:rsidP="00770D11">
      <w:pPr>
        <w:spacing w:line="240" w:lineRule="auto"/>
        <w:rPr>
          <w:rFonts w:ascii="Arial" w:hAnsi="Arial" w:cs="Arial"/>
          <w:sz w:val="22"/>
          <w:szCs w:val="22"/>
        </w:rPr>
      </w:pPr>
      <w:r w:rsidRPr="00770D11">
        <w:rPr>
          <w:rFonts w:ascii="Arial" w:hAnsi="Arial" w:cs="Arial"/>
          <w:sz w:val="22"/>
          <w:szCs w:val="22"/>
        </w:rPr>
        <w:t>Education for Receivers (or Account Holders)</w:t>
      </w:r>
    </w:p>
    <w:p w14:paraId="1C5BD934" w14:textId="7240C123" w:rsidR="00770D11" w:rsidRPr="00785025" w:rsidRDefault="00785025" w:rsidP="00770D11">
      <w:pPr>
        <w:pStyle w:val="ListParagraph"/>
        <w:numPr>
          <w:ilvl w:val="0"/>
          <w:numId w:val="21"/>
        </w:numPr>
        <w:spacing w:line="240" w:lineRule="auto"/>
        <w:rPr>
          <w:rFonts w:ascii="Arial" w:hAnsi="Arial" w:cs="Arial"/>
          <w:sz w:val="22"/>
          <w:szCs w:val="22"/>
        </w:rPr>
      </w:pPr>
      <w:r>
        <w:rPr>
          <w:rFonts w:ascii="Arial" w:hAnsi="Arial" w:cs="Arial"/>
          <w:sz w:val="20"/>
          <w:szCs w:val="20"/>
        </w:rPr>
        <w:t xml:space="preserve">How </w:t>
      </w:r>
      <w:r w:rsidR="00AE62AE">
        <w:rPr>
          <w:rFonts w:ascii="Arial" w:hAnsi="Arial" w:cs="Arial"/>
          <w:sz w:val="20"/>
          <w:szCs w:val="20"/>
        </w:rPr>
        <w:t xml:space="preserve">communication of </w:t>
      </w:r>
      <w:r>
        <w:rPr>
          <w:rFonts w:ascii="Arial" w:hAnsi="Arial" w:cs="Arial"/>
          <w:sz w:val="20"/>
          <w:szCs w:val="20"/>
        </w:rPr>
        <w:t xml:space="preserve">security risks </w:t>
      </w:r>
      <w:proofErr w:type="gramStart"/>
      <w:r>
        <w:rPr>
          <w:rFonts w:ascii="Arial" w:hAnsi="Arial" w:cs="Arial"/>
          <w:sz w:val="20"/>
          <w:szCs w:val="20"/>
        </w:rPr>
        <w:t>are</w:t>
      </w:r>
      <w:proofErr w:type="gramEnd"/>
      <w:r>
        <w:rPr>
          <w:rFonts w:ascii="Arial" w:hAnsi="Arial" w:cs="Arial"/>
          <w:sz w:val="20"/>
          <w:szCs w:val="20"/>
        </w:rPr>
        <w:t xml:space="preserve"> delivered, such as sending to both web and app versions of online platforms and other </w:t>
      </w:r>
      <w:r w:rsidR="00AE62AE">
        <w:rPr>
          <w:rFonts w:ascii="Arial" w:hAnsi="Arial" w:cs="Arial"/>
          <w:sz w:val="20"/>
          <w:szCs w:val="20"/>
        </w:rPr>
        <w:t xml:space="preserve">secure or valid </w:t>
      </w:r>
      <w:r>
        <w:rPr>
          <w:rFonts w:ascii="Arial" w:hAnsi="Arial" w:cs="Arial"/>
          <w:sz w:val="20"/>
          <w:szCs w:val="20"/>
        </w:rPr>
        <w:t>communications</w:t>
      </w:r>
    </w:p>
    <w:p w14:paraId="7636AD22" w14:textId="6FD89FE2" w:rsidR="00785025" w:rsidRPr="00DF0808" w:rsidRDefault="00DF0808" w:rsidP="00770D11">
      <w:pPr>
        <w:pStyle w:val="ListParagraph"/>
        <w:numPr>
          <w:ilvl w:val="0"/>
          <w:numId w:val="21"/>
        </w:numPr>
        <w:spacing w:line="240" w:lineRule="auto"/>
        <w:rPr>
          <w:rFonts w:ascii="Arial" w:hAnsi="Arial" w:cs="Arial"/>
          <w:sz w:val="22"/>
          <w:szCs w:val="22"/>
        </w:rPr>
      </w:pPr>
      <w:r>
        <w:rPr>
          <w:rFonts w:ascii="Arial" w:hAnsi="Arial" w:cs="Arial"/>
          <w:sz w:val="20"/>
          <w:szCs w:val="20"/>
        </w:rPr>
        <w:t>Provide content to Receivers on topics such as:</w:t>
      </w:r>
    </w:p>
    <w:p w14:paraId="4B6C0E78" w14:textId="2BD47A40" w:rsidR="00DF0808" w:rsidRPr="00E35541" w:rsidRDefault="00DF0808" w:rsidP="00DF0808">
      <w:pPr>
        <w:pStyle w:val="ListParagraph"/>
        <w:numPr>
          <w:ilvl w:val="1"/>
          <w:numId w:val="21"/>
        </w:numPr>
        <w:spacing w:line="240" w:lineRule="auto"/>
        <w:rPr>
          <w:rFonts w:ascii="Arial" w:hAnsi="Arial" w:cs="Arial"/>
          <w:sz w:val="22"/>
          <w:szCs w:val="22"/>
        </w:rPr>
      </w:pPr>
      <w:r>
        <w:rPr>
          <w:rFonts w:ascii="Arial" w:hAnsi="Arial" w:cs="Arial"/>
          <w:sz w:val="20"/>
          <w:szCs w:val="20"/>
        </w:rPr>
        <w:t>Money mu</w:t>
      </w:r>
      <w:r w:rsidR="00E35541">
        <w:rPr>
          <w:rFonts w:ascii="Arial" w:hAnsi="Arial" w:cs="Arial"/>
          <w:sz w:val="20"/>
          <w:szCs w:val="20"/>
        </w:rPr>
        <w:t>le schemes</w:t>
      </w:r>
    </w:p>
    <w:p w14:paraId="13B8287B" w14:textId="38BC96C2" w:rsidR="00E35541" w:rsidRPr="00043F5E" w:rsidRDefault="00043F5E" w:rsidP="00DF0808">
      <w:pPr>
        <w:pStyle w:val="ListParagraph"/>
        <w:numPr>
          <w:ilvl w:val="1"/>
          <w:numId w:val="21"/>
        </w:numPr>
        <w:spacing w:line="240" w:lineRule="auto"/>
        <w:rPr>
          <w:rFonts w:ascii="Arial" w:hAnsi="Arial" w:cs="Arial"/>
          <w:sz w:val="22"/>
          <w:szCs w:val="22"/>
        </w:rPr>
      </w:pPr>
      <w:r>
        <w:rPr>
          <w:rFonts w:ascii="Arial" w:hAnsi="Arial" w:cs="Arial"/>
          <w:sz w:val="20"/>
          <w:szCs w:val="20"/>
        </w:rPr>
        <w:t>Product and service scams</w:t>
      </w:r>
    </w:p>
    <w:p w14:paraId="64B82540" w14:textId="6175CB6E" w:rsidR="00043F5E" w:rsidRPr="008C34D0" w:rsidRDefault="008C34D0" w:rsidP="00DF0808">
      <w:pPr>
        <w:pStyle w:val="ListParagraph"/>
        <w:numPr>
          <w:ilvl w:val="1"/>
          <w:numId w:val="21"/>
        </w:numPr>
        <w:spacing w:line="240" w:lineRule="auto"/>
        <w:rPr>
          <w:rFonts w:ascii="Arial" w:hAnsi="Arial" w:cs="Arial"/>
          <w:sz w:val="22"/>
          <w:szCs w:val="22"/>
        </w:rPr>
      </w:pPr>
      <w:r>
        <w:rPr>
          <w:rFonts w:ascii="Arial" w:hAnsi="Arial" w:cs="Arial"/>
          <w:sz w:val="20"/>
          <w:szCs w:val="20"/>
        </w:rPr>
        <w:t>Only send funds to known party</w:t>
      </w:r>
    </w:p>
    <w:p w14:paraId="41F56A43" w14:textId="623D6F68" w:rsidR="008C34D0" w:rsidRPr="008C34D0" w:rsidRDefault="008C34D0" w:rsidP="00DF0808">
      <w:pPr>
        <w:pStyle w:val="ListParagraph"/>
        <w:numPr>
          <w:ilvl w:val="1"/>
          <w:numId w:val="21"/>
        </w:numPr>
        <w:spacing w:line="240" w:lineRule="auto"/>
        <w:rPr>
          <w:rFonts w:ascii="Arial" w:hAnsi="Arial" w:cs="Arial"/>
          <w:sz w:val="22"/>
          <w:szCs w:val="22"/>
        </w:rPr>
      </w:pPr>
      <w:r>
        <w:rPr>
          <w:rFonts w:ascii="Arial" w:hAnsi="Arial" w:cs="Arial"/>
          <w:sz w:val="20"/>
          <w:szCs w:val="20"/>
        </w:rPr>
        <w:t>Different scams and schemes</w:t>
      </w:r>
    </w:p>
    <w:p w14:paraId="44536589" w14:textId="28669CF8" w:rsidR="008C34D0" w:rsidRPr="00E97118" w:rsidRDefault="008C34D0" w:rsidP="00DF0808">
      <w:pPr>
        <w:pStyle w:val="ListParagraph"/>
        <w:numPr>
          <w:ilvl w:val="1"/>
          <w:numId w:val="21"/>
        </w:numPr>
        <w:spacing w:line="240" w:lineRule="auto"/>
        <w:rPr>
          <w:rFonts w:ascii="Arial" w:hAnsi="Arial" w:cs="Arial"/>
          <w:sz w:val="22"/>
          <w:szCs w:val="22"/>
        </w:rPr>
      </w:pPr>
      <w:r>
        <w:rPr>
          <w:rFonts w:ascii="Arial" w:hAnsi="Arial" w:cs="Arial"/>
          <w:sz w:val="20"/>
          <w:szCs w:val="20"/>
        </w:rPr>
        <w:t>Evolving fraud trends</w:t>
      </w:r>
    </w:p>
    <w:p w14:paraId="72821B80" w14:textId="56BBB96B" w:rsidR="00E97118" w:rsidRDefault="00E97118" w:rsidP="00E97118">
      <w:pPr>
        <w:spacing w:line="240" w:lineRule="auto"/>
        <w:rPr>
          <w:rFonts w:ascii="Arial" w:hAnsi="Arial" w:cs="Arial"/>
          <w:sz w:val="22"/>
          <w:szCs w:val="22"/>
        </w:rPr>
      </w:pPr>
      <w:r>
        <w:rPr>
          <w:rFonts w:ascii="Arial" w:hAnsi="Arial" w:cs="Arial"/>
          <w:sz w:val="22"/>
          <w:szCs w:val="22"/>
        </w:rPr>
        <w:t>Education for RDFI Staff</w:t>
      </w:r>
    </w:p>
    <w:p w14:paraId="77874323" w14:textId="75DCE4C0" w:rsidR="00E97118" w:rsidRDefault="00E97118" w:rsidP="00E97118">
      <w:pPr>
        <w:pStyle w:val="ListParagraph"/>
        <w:numPr>
          <w:ilvl w:val="0"/>
          <w:numId w:val="22"/>
        </w:numPr>
        <w:spacing w:line="240" w:lineRule="auto"/>
        <w:rPr>
          <w:rFonts w:ascii="Arial" w:hAnsi="Arial" w:cs="Arial"/>
          <w:sz w:val="20"/>
          <w:szCs w:val="20"/>
        </w:rPr>
      </w:pPr>
      <w:r w:rsidRPr="00A84E03">
        <w:rPr>
          <w:rFonts w:ascii="Arial" w:hAnsi="Arial" w:cs="Arial"/>
          <w:sz w:val="20"/>
          <w:szCs w:val="20"/>
        </w:rPr>
        <w:t xml:space="preserve">Continuing </w:t>
      </w:r>
      <w:r w:rsidR="00CB41C9" w:rsidRPr="00A84E03">
        <w:rPr>
          <w:rFonts w:ascii="Arial" w:hAnsi="Arial" w:cs="Arial"/>
          <w:sz w:val="20"/>
          <w:szCs w:val="20"/>
        </w:rPr>
        <w:t>education for staff on payments and risk</w:t>
      </w:r>
      <w:r w:rsidR="00A84E03" w:rsidRPr="00A84E03">
        <w:rPr>
          <w:rFonts w:ascii="Arial" w:hAnsi="Arial" w:cs="Arial"/>
          <w:sz w:val="20"/>
          <w:szCs w:val="20"/>
        </w:rPr>
        <w:t>, whether for accreditation or not</w:t>
      </w:r>
    </w:p>
    <w:p w14:paraId="4E09CFF1" w14:textId="467D9E74" w:rsidR="00A84E03" w:rsidRDefault="00B434DA" w:rsidP="00E97118">
      <w:pPr>
        <w:pStyle w:val="ListParagraph"/>
        <w:numPr>
          <w:ilvl w:val="0"/>
          <w:numId w:val="22"/>
        </w:numPr>
        <w:spacing w:line="240" w:lineRule="auto"/>
        <w:rPr>
          <w:rFonts w:ascii="Arial" w:hAnsi="Arial" w:cs="Arial"/>
          <w:sz w:val="20"/>
          <w:szCs w:val="20"/>
        </w:rPr>
      </w:pPr>
      <w:r>
        <w:rPr>
          <w:rFonts w:ascii="Arial" w:hAnsi="Arial" w:cs="Arial"/>
          <w:sz w:val="20"/>
          <w:szCs w:val="20"/>
        </w:rPr>
        <w:t>Utilize</w:t>
      </w:r>
      <w:r w:rsidR="00DF3438">
        <w:rPr>
          <w:rFonts w:ascii="Arial" w:hAnsi="Arial" w:cs="Arial"/>
          <w:sz w:val="20"/>
          <w:szCs w:val="20"/>
        </w:rPr>
        <w:t xml:space="preserve"> accredited staff to </w:t>
      </w:r>
      <w:r w:rsidR="001707E6">
        <w:rPr>
          <w:rFonts w:ascii="Arial" w:hAnsi="Arial" w:cs="Arial"/>
          <w:sz w:val="20"/>
          <w:szCs w:val="20"/>
        </w:rPr>
        <w:t>build training programs for internal staff, update as appropriate</w:t>
      </w:r>
    </w:p>
    <w:p w14:paraId="6C0E56A5" w14:textId="41488C3A" w:rsidR="001707E6" w:rsidRDefault="002707FD" w:rsidP="00E97118">
      <w:pPr>
        <w:pStyle w:val="ListParagraph"/>
        <w:numPr>
          <w:ilvl w:val="0"/>
          <w:numId w:val="22"/>
        </w:numPr>
        <w:spacing w:line="240" w:lineRule="auto"/>
        <w:rPr>
          <w:rFonts w:ascii="Arial" w:hAnsi="Arial" w:cs="Arial"/>
          <w:sz w:val="20"/>
          <w:szCs w:val="20"/>
        </w:rPr>
      </w:pPr>
      <w:r>
        <w:rPr>
          <w:rFonts w:ascii="Arial" w:hAnsi="Arial" w:cs="Arial"/>
          <w:sz w:val="20"/>
          <w:szCs w:val="20"/>
        </w:rPr>
        <w:t>Utilize other training options, such as Payment Association resources</w:t>
      </w:r>
    </w:p>
    <w:p w14:paraId="673E87EE" w14:textId="29959F62" w:rsidR="002707FD" w:rsidRDefault="002707FD" w:rsidP="00E97118">
      <w:pPr>
        <w:pStyle w:val="ListParagraph"/>
        <w:numPr>
          <w:ilvl w:val="0"/>
          <w:numId w:val="22"/>
        </w:numPr>
        <w:spacing w:line="240" w:lineRule="auto"/>
        <w:rPr>
          <w:rFonts w:ascii="Arial" w:hAnsi="Arial" w:cs="Arial"/>
          <w:sz w:val="20"/>
          <w:szCs w:val="20"/>
        </w:rPr>
      </w:pPr>
      <w:r>
        <w:rPr>
          <w:rFonts w:ascii="Arial" w:hAnsi="Arial" w:cs="Arial"/>
          <w:sz w:val="20"/>
          <w:szCs w:val="20"/>
        </w:rPr>
        <w:t>Annual ACH training for all staff members</w:t>
      </w:r>
    </w:p>
    <w:p w14:paraId="5844AD20" w14:textId="77777777" w:rsidR="000C00C7" w:rsidRDefault="000C00C7" w:rsidP="000C00C7">
      <w:pPr>
        <w:spacing w:line="240" w:lineRule="auto"/>
        <w:rPr>
          <w:rFonts w:ascii="Arial" w:hAnsi="Arial" w:cs="Arial"/>
          <w:sz w:val="20"/>
          <w:szCs w:val="20"/>
        </w:rPr>
      </w:pPr>
    </w:p>
    <w:p w14:paraId="35203CCD" w14:textId="45F7C60E" w:rsidR="000C00C7" w:rsidRPr="00C17C63" w:rsidRDefault="000C00C7" w:rsidP="000C00C7">
      <w:pPr>
        <w:spacing w:line="240" w:lineRule="auto"/>
        <w:rPr>
          <w:rFonts w:ascii="Arial" w:hAnsi="Arial" w:cs="Arial"/>
          <w:b/>
          <w:bCs/>
        </w:rPr>
      </w:pPr>
      <w:r w:rsidRPr="00C17C63">
        <w:rPr>
          <w:rFonts w:ascii="Arial" w:hAnsi="Arial" w:cs="Arial"/>
          <w:b/>
          <w:bCs/>
          <w:color w:val="4C94D8" w:themeColor="text2" w:themeTint="80"/>
        </w:rPr>
        <w:t>About Center for Payments</w:t>
      </w:r>
      <w:r w:rsidR="00C17C63" w:rsidRPr="00C17C63">
        <w:rPr>
          <w:rFonts w:ascii="Arial" w:hAnsi="Arial" w:cs="Arial"/>
          <w:b/>
          <w:bCs/>
          <w:color w:val="4C94D8" w:themeColor="text2" w:themeTint="80"/>
        </w:rPr>
        <w:t>™</w:t>
      </w:r>
      <w:r w:rsidRPr="00C17C63">
        <w:rPr>
          <w:rFonts w:ascii="Arial" w:hAnsi="Arial" w:cs="Arial"/>
          <w:b/>
          <w:bCs/>
          <w:color w:val="4C94D8" w:themeColor="text2" w:themeTint="80"/>
        </w:rPr>
        <w:t xml:space="preserve"> (C4P)</w:t>
      </w:r>
    </w:p>
    <w:p w14:paraId="3BD5D1B4" w14:textId="3946295F" w:rsidR="00C17C63" w:rsidRPr="00AD664F" w:rsidRDefault="00E42CE9" w:rsidP="00E42CE9">
      <w:pPr>
        <w:spacing w:line="240" w:lineRule="auto"/>
        <w:rPr>
          <w:rFonts w:ascii="Arial" w:hAnsi="Arial" w:cs="Arial"/>
          <w:sz w:val="20"/>
          <w:szCs w:val="20"/>
        </w:rPr>
      </w:pPr>
      <w:r w:rsidRPr="00AD664F">
        <w:rPr>
          <w:rFonts w:ascii="Arial" w:hAnsi="Arial" w:cs="Arial"/>
          <w:sz w:val="20"/>
          <w:szCs w:val="20"/>
        </w:rPr>
        <w:t xml:space="preserve">The Center for Payments is a joint program sponsored by 9 Payments Associations for the purpose of helping members and staff better prepare for the continued evolution in U.S. payment systems. The mission of the Center for Payments is to advance the payments industry as a united voice through market intelligence and thought leadership. This program further enhances the value of membership in the participating associations. Current participants in the program include: </w:t>
      </w:r>
      <w:proofErr w:type="spellStart"/>
      <w:r w:rsidRPr="00AD664F">
        <w:rPr>
          <w:rFonts w:ascii="Arial" w:hAnsi="Arial" w:cs="Arial"/>
          <w:sz w:val="20"/>
          <w:szCs w:val="20"/>
        </w:rPr>
        <w:t>ePayResources</w:t>
      </w:r>
      <w:proofErr w:type="spellEnd"/>
      <w:r w:rsidRPr="00AD664F">
        <w:rPr>
          <w:rFonts w:ascii="Arial" w:hAnsi="Arial" w:cs="Arial"/>
          <w:sz w:val="20"/>
          <w:szCs w:val="20"/>
        </w:rPr>
        <w:t xml:space="preserve">, EPCOR, NEACH, </w:t>
      </w:r>
      <w:proofErr w:type="spellStart"/>
      <w:r w:rsidRPr="00AD664F">
        <w:rPr>
          <w:rFonts w:ascii="Arial" w:hAnsi="Arial" w:cs="Arial"/>
          <w:sz w:val="20"/>
          <w:szCs w:val="20"/>
        </w:rPr>
        <w:t>PaymentsFirst</w:t>
      </w:r>
      <w:proofErr w:type="spellEnd"/>
      <w:r w:rsidRPr="00AD664F">
        <w:rPr>
          <w:rFonts w:ascii="Arial" w:hAnsi="Arial" w:cs="Arial"/>
          <w:sz w:val="20"/>
          <w:szCs w:val="20"/>
        </w:rPr>
        <w:t xml:space="preserve">, SHAZAM, Southern Financial Exchange, The Clearing House Payments Authority, UMACHA, and </w:t>
      </w:r>
      <w:proofErr w:type="spellStart"/>
      <w:r w:rsidRPr="00AD664F">
        <w:rPr>
          <w:rFonts w:ascii="Arial" w:hAnsi="Arial" w:cs="Arial"/>
          <w:sz w:val="20"/>
          <w:szCs w:val="20"/>
        </w:rPr>
        <w:t>Wespay</w:t>
      </w:r>
      <w:proofErr w:type="spellEnd"/>
      <w:r w:rsidRPr="00AD664F">
        <w:rPr>
          <w:rFonts w:ascii="Arial" w:hAnsi="Arial" w:cs="Arial"/>
          <w:sz w:val="20"/>
          <w:szCs w:val="20"/>
        </w:rPr>
        <w:t>. These associations represent over 10,000 financial institution members, businesses and stakeholders with an interest in U.S. payment systems. Find out more at centerforpayments.org or contact info@centerforpayments.org.</w:t>
      </w:r>
    </w:p>
    <w:p w14:paraId="06453BF4" w14:textId="6B4DAA50" w:rsidR="001D06B1" w:rsidRDefault="001D06B1" w:rsidP="00AD664F">
      <w:pPr>
        <w:spacing w:line="240" w:lineRule="auto"/>
        <w:jc w:val="center"/>
        <w:rPr>
          <w:rFonts w:ascii="Arial" w:hAnsi="Arial" w:cs="Arial"/>
          <w:sz w:val="22"/>
          <w:szCs w:val="22"/>
        </w:rPr>
      </w:pPr>
      <w:r w:rsidRPr="001D06B1">
        <w:rPr>
          <w:rFonts w:ascii="Arial" w:hAnsi="Arial" w:cs="Arial"/>
          <w:noProof/>
          <w:sz w:val="22"/>
          <w:szCs w:val="22"/>
        </w:rPr>
        <w:drawing>
          <wp:inline distT="0" distB="0" distL="0" distR="0" wp14:anchorId="1D8BBB73" wp14:editId="09A567DA">
            <wp:extent cx="2629267" cy="981212"/>
            <wp:effectExtent l="0" t="0" r="0" b="9525"/>
            <wp:docPr id="80672988" name="Picture 1" descr="A close-up of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2988" name="Picture 1" descr="A close-up of blue text&#10;&#10;AI-generated content may be incorrect."/>
                    <pic:cNvPicPr/>
                  </pic:nvPicPr>
                  <pic:blipFill>
                    <a:blip r:embed="rId10"/>
                    <a:stretch>
                      <a:fillRect/>
                    </a:stretch>
                  </pic:blipFill>
                  <pic:spPr>
                    <a:xfrm>
                      <a:off x="0" y="0"/>
                      <a:ext cx="2629267" cy="981212"/>
                    </a:xfrm>
                    <a:prstGeom prst="rect">
                      <a:avLst/>
                    </a:prstGeom>
                  </pic:spPr>
                </pic:pic>
              </a:graphicData>
            </a:graphic>
          </wp:inline>
        </w:drawing>
      </w:r>
    </w:p>
    <w:p w14:paraId="70402913" w14:textId="6756E756" w:rsidR="00AD664F" w:rsidRDefault="00AD664F" w:rsidP="00AD664F">
      <w:pPr>
        <w:spacing w:line="240" w:lineRule="auto"/>
        <w:jc w:val="center"/>
        <w:rPr>
          <w:rFonts w:ascii="Arial" w:hAnsi="Arial" w:cs="Arial"/>
          <w:sz w:val="22"/>
          <w:szCs w:val="22"/>
        </w:rPr>
      </w:pPr>
      <w:r>
        <w:rPr>
          <w:rFonts w:ascii="Arial" w:hAnsi="Arial" w:cs="Arial"/>
          <w:sz w:val="22"/>
          <w:szCs w:val="22"/>
        </w:rPr>
        <w:t>LinkedIn:</w:t>
      </w:r>
    </w:p>
    <w:p w14:paraId="6F2346EA" w14:textId="638393D5" w:rsidR="00AD664F" w:rsidRPr="00AD664F" w:rsidRDefault="00AD664F" w:rsidP="00AD664F">
      <w:pPr>
        <w:spacing w:line="240" w:lineRule="auto"/>
        <w:jc w:val="center"/>
        <w:rPr>
          <w:rFonts w:ascii="Arial" w:hAnsi="Arial" w:cs="Arial"/>
          <w:sz w:val="20"/>
          <w:szCs w:val="20"/>
        </w:rPr>
      </w:pPr>
      <w:hyperlink r:id="rId11" w:history="1">
        <w:r w:rsidRPr="00195B90">
          <w:rPr>
            <w:rStyle w:val="Hyperlink"/>
            <w:rFonts w:ascii="Arial" w:hAnsi="Arial" w:cs="Arial"/>
            <w:sz w:val="20"/>
            <w:szCs w:val="20"/>
          </w:rPr>
          <w:t>https://www.linkedin.com/company/centerforpayments/</w:t>
        </w:r>
      </w:hyperlink>
      <w:r>
        <w:rPr>
          <w:rFonts w:ascii="Arial" w:hAnsi="Arial" w:cs="Arial"/>
          <w:sz w:val="20"/>
          <w:szCs w:val="20"/>
        </w:rPr>
        <w:t xml:space="preserve"> </w:t>
      </w:r>
    </w:p>
    <w:sectPr w:rsidR="00AD664F" w:rsidRPr="00AD664F" w:rsidSect="00AE6958">
      <w:headerReference w:type="default" r:id="rId12"/>
      <w:pgSz w:w="12240" w:h="15840"/>
      <w:pgMar w:top="360" w:right="720" w:bottom="216"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0E923" w14:textId="77777777" w:rsidR="00A1103A" w:rsidRDefault="00A1103A" w:rsidP="00700CF5">
      <w:pPr>
        <w:spacing w:after="0" w:line="240" w:lineRule="auto"/>
      </w:pPr>
      <w:r>
        <w:separator/>
      </w:r>
    </w:p>
  </w:endnote>
  <w:endnote w:type="continuationSeparator" w:id="0">
    <w:p w14:paraId="0047DC2F" w14:textId="77777777" w:rsidR="00A1103A" w:rsidRDefault="00A1103A" w:rsidP="00700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C803A" w14:textId="77777777" w:rsidR="00A1103A" w:rsidRDefault="00A1103A" w:rsidP="00700CF5">
      <w:pPr>
        <w:spacing w:after="0" w:line="240" w:lineRule="auto"/>
      </w:pPr>
      <w:r>
        <w:separator/>
      </w:r>
    </w:p>
  </w:footnote>
  <w:footnote w:type="continuationSeparator" w:id="0">
    <w:p w14:paraId="5620FEF6" w14:textId="77777777" w:rsidR="00A1103A" w:rsidRDefault="00A1103A" w:rsidP="00700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240" w:type="dxa"/>
      <w:tblInd w:w="-1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45"/>
    </w:tblGrid>
    <w:tr w:rsidR="00700CF5" w14:paraId="435F46B3" w14:textId="77777777" w:rsidTr="00700CF5">
      <w:tc>
        <w:tcPr>
          <w:tcW w:w="12240" w:type="dxa"/>
        </w:tcPr>
        <w:tbl>
          <w:tblPr>
            <w:tblStyle w:val="TableGrid"/>
            <w:tblW w:w="12014" w:type="dxa"/>
            <w:tblInd w:w="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14"/>
          </w:tblGrid>
          <w:tr w:rsidR="00700CF5" w14:paraId="081266D3" w14:textId="77777777" w:rsidTr="00700CF5">
            <w:tc>
              <w:tcPr>
                <w:tcW w:w="12014" w:type="dxa"/>
              </w:tcPr>
              <w:p w14:paraId="3817E755" w14:textId="079C4498" w:rsidR="00700CF5" w:rsidRDefault="00700CF5" w:rsidP="00700CF5">
                <w:pPr>
                  <w:pStyle w:val="Header"/>
                  <w:jc w:val="center"/>
                </w:pPr>
                <w:r w:rsidRPr="00700CF5">
                  <w:rPr>
                    <w:noProof/>
                  </w:rPr>
                  <w:drawing>
                    <wp:inline distT="0" distB="0" distL="0" distR="0" wp14:anchorId="1100379D" wp14:editId="697E6AD0">
                      <wp:extent cx="7343775" cy="794216"/>
                      <wp:effectExtent l="0" t="0" r="0" b="6350"/>
                      <wp:docPr id="1320839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39895" name=""/>
                              <pic:cNvPicPr/>
                            </pic:nvPicPr>
                            <pic:blipFill>
                              <a:blip r:embed="rId1"/>
                              <a:stretch>
                                <a:fillRect/>
                              </a:stretch>
                            </pic:blipFill>
                            <pic:spPr>
                              <a:xfrm>
                                <a:off x="0" y="0"/>
                                <a:ext cx="7430901" cy="803639"/>
                              </a:xfrm>
                              <a:prstGeom prst="rect">
                                <a:avLst/>
                              </a:prstGeom>
                            </pic:spPr>
                          </pic:pic>
                        </a:graphicData>
                      </a:graphic>
                    </wp:inline>
                  </w:drawing>
                </w:r>
              </w:p>
            </w:tc>
          </w:tr>
        </w:tbl>
        <w:p w14:paraId="3F5BE4A4" w14:textId="41F733AF" w:rsidR="00700CF5" w:rsidRDefault="00700CF5" w:rsidP="00700CF5">
          <w:pPr>
            <w:pStyle w:val="Header"/>
            <w:jc w:val="center"/>
          </w:pPr>
        </w:p>
      </w:tc>
    </w:tr>
  </w:tbl>
  <w:p w14:paraId="09DC77A6" w14:textId="1A55C443" w:rsidR="00700CF5" w:rsidRDefault="00700C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4952"/>
    <w:multiLevelType w:val="hybridMultilevel"/>
    <w:tmpl w:val="220EB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73F14"/>
    <w:multiLevelType w:val="hybridMultilevel"/>
    <w:tmpl w:val="4BA21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EF14A6"/>
    <w:multiLevelType w:val="hybridMultilevel"/>
    <w:tmpl w:val="C00C1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20511"/>
    <w:multiLevelType w:val="hybridMultilevel"/>
    <w:tmpl w:val="07F22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565431"/>
    <w:multiLevelType w:val="hybridMultilevel"/>
    <w:tmpl w:val="43A8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617C3A"/>
    <w:multiLevelType w:val="hybridMultilevel"/>
    <w:tmpl w:val="1B700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C97200"/>
    <w:multiLevelType w:val="hybridMultilevel"/>
    <w:tmpl w:val="2C702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882C21"/>
    <w:multiLevelType w:val="hybridMultilevel"/>
    <w:tmpl w:val="5A6EB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7A7A28"/>
    <w:multiLevelType w:val="hybridMultilevel"/>
    <w:tmpl w:val="92068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32113D"/>
    <w:multiLevelType w:val="hybridMultilevel"/>
    <w:tmpl w:val="25B88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A594F"/>
    <w:multiLevelType w:val="hybridMultilevel"/>
    <w:tmpl w:val="E6FCF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5D26DD"/>
    <w:multiLevelType w:val="hybridMultilevel"/>
    <w:tmpl w:val="6E2CE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6425A3"/>
    <w:multiLevelType w:val="hybridMultilevel"/>
    <w:tmpl w:val="1628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FD4B09"/>
    <w:multiLevelType w:val="hybridMultilevel"/>
    <w:tmpl w:val="C756D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2A5D95"/>
    <w:multiLevelType w:val="hybridMultilevel"/>
    <w:tmpl w:val="C210973A"/>
    <w:lvl w:ilvl="0" w:tplc="7A7EA0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C87238"/>
    <w:multiLevelType w:val="hybridMultilevel"/>
    <w:tmpl w:val="57443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356FD2"/>
    <w:multiLevelType w:val="hybridMultilevel"/>
    <w:tmpl w:val="28080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A713F5"/>
    <w:multiLevelType w:val="hybridMultilevel"/>
    <w:tmpl w:val="B9103F22"/>
    <w:lvl w:ilvl="0" w:tplc="2AD205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7D40D4"/>
    <w:multiLevelType w:val="hybridMultilevel"/>
    <w:tmpl w:val="85408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1A7CD2"/>
    <w:multiLevelType w:val="hybridMultilevel"/>
    <w:tmpl w:val="8DDA70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983F1B"/>
    <w:multiLevelType w:val="hybridMultilevel"/>
    <w:tmpl w:val="512C5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5F45C1"/>
    <w:multiLevelType w:val="hybridMultilevel"/>
    <w:tmpl w:val="960E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2527778">
    <w:abstractNumId w:val="17"/>
  </w:num>
  <w:num w:numId="2" w16cid:durableId="993336130">
    <w:abstractNumId w:val="16"/>
  </w:num>
  <w:num w:numId="3" w16cid:durableId="262343293">
    <w:abstractNumId w:val="0"/>
  </w:num>
  <w:num w:numId="4" w16cid:durableId="814445113">
    <w:abstractNumId w:val="14"/>
  </w:num>
  <w:num w:numId="5" w16cid:durableId="82606700">
    <w:abstractNumId w:val="13"/>
  </w:num>
  <w:num w:numId="6" w16cid:durableId="1944262138">
    <w:abstractNumId w:val="19"/>
  </w:num>
  <w:num w:numId="7" w16cid:durableId="1595553566">
    <w:abstractNumId w:val="8"/>
  </w:num>
  <w:num w:numId="8" w16cid:durableId="411584788">
    <w:abstractNumId w:val="5"/>
  </w:num>
  <w:num w:numId="9" w16cid:durableId="78215344">
    <w:abstractNumId w:val="7"/>
  </w:num>
  <w:num w:numId="10" w16cid:durableId="696127176">
    <w:abstractNumId w:val="9"/>
  </w:num>
  <w:num w:numId="11" w16cid:durableId="1259829003">
    <w:abstractNumId w:val="2"/>
  </w:num>
  <w:num w:numId="12" w16cid:durableId="456023299">
    <w:abstractNumId w:val="20"/>
  </w:num>
  <w:num w:numId="13" w16cid:durableId="1222667706">
    <w:abstractNumId w:val="15"/>
  </w:num>
  <w:num w:numId="14" w16cid:durableId="1252928281">
    <w:abstractNumId w:val="1"/>
  </w:num>
  <w:num w:numId="15" w16cid:durableId="509829319">
    <w:abstractNumId w:val="21"/>
  </w:num>
  <w:num w:numId="16" w16cid:durableId="483082042">
    <w:abstractNumId w:val="11"/>
  </w:num>
  <w:num w:numId="17" w16cid:durableId="1487672975">
    <w:abstractNumId w:val="3"/>
  </w:num>
  <w:num w:numId="18" w16cid:durableId="1856337916">
    <w:abstractNumId w:val="12"/>
  </w:num>
  <w:num w:numId="19" w16cid:durableId="810943926">
    <w:abstractNumId w:val="10"/>
  </w:num>
  <w:num w:numId="20" w16cid:durableId="1092316278">
    <w:abstractNumId w:val="6"/>
  </w:num>
  <w:num w:numId="21" w16cid:durableId="709644949">
    <w:abstractNumId w:val="18"/>
  </w:num>
  <w:num w:numId="22" w16cid:durableId="355930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F5"/>
    <w:rsid w:val="00002E32"/>
    <w:rsid w:val="00003F0E"/>
    <w:rsid w:val="000161E0"/>
    <w:rsid w:val="00043F5E"/>
    <w:rsid w:val="00054559"/>
    <w:rsid w:val="000779B6"/>
    <w:rsid w:val="000822FF"/>
    <w:rsid w:val="00084EA0"/>
    <w:rsid w:val="00093CFC"/>
    <w:rsid w:val="000C00C7"/>
    <w:rsid w:val="000C7D13"/>
    <w:rsid w:val="000D53D8"/>
    <w:rsid w:val="00125D3C"/>
    <w:rsid w:val="00137ACB"/>
    <w:rsid w:val="00142D29"/>
    <w:rsid w:val="00163D65"/>
    <w:rsid w:val="001653AD"/>
    <w:rsid w:val="0016708B"/>
    <w:rsid w:val="001707E6"/>
    <w:rsid w:val="00181D84"/>
    <w:rsid w:val="00187326"/>
    <w:rsid w:val="001A203D"/>
    <w:rsid w:val="001B0DE7"/>
    <w:rsid w:val="001B3266"/>
    <w:rsid w:val="001D06B1"/>
    <w:rsid w:val="001E7BFB"/>
    <w:rsid w:val="001F25F6"/>
    <w:rsid w:val="001F7B93"/>
    <w:rsid w:val="00207576"/>
    <w:rsid w:val="0024782D"/>
    <w:rsid w:val="00254A1F"/>
    <w:rsid w:val="00254A22"/>
    <w:rsid w:val="002707FD"/>
    <w:rsid w:val="00274B17"/>
    <w:rsid w:val="00275E29"/>
    <w:rsid w:val="00285627"/>
    <w:rsid w:val="00291F63"/>
    <w:rsid w:val="002A6832"/>
    <w:rsid w:val="002B0AAF"/>
    <w:rsid w:val="002B5696"/>
    <w:rsid w:val="002D26CF"/>
    <w:rsid w:val="002D5B4C"/>
    <w:rsid w:val="002E2A4F"/>
    <w:rsid w:val="002F29E2"/>
    <w:rsid w:val="003026E6"/>
    <w:rsid w:val="003066F8"/>
    <w:rsid w:val="003129D2"/>
    <w:rsid w:val="00357A5C"/>
    <w:rsid w:val="00365D14"/>
    <w:rsid w:val="003739FE"/>
    <w:rsid w:val="0038110E"/>
    <w:rsid w:val="00396C19"/>
    <w:rsid w:val="003A4512"/>
    <w:rsid w:val="003D14C2"/>
    <w:rsid w:val="004055C2"/>
    <w:rsid w:val="004072A9"/>
    <w:rsid w:val="00417F12"/>
    <w:rsid w:val="00423725"/>
    <w:rsid w:val="00430CBE"/>
    <w:rsid w:val="004319C1"/>
    <w:rsid w:val="00437687"/>
    <w:rsid w:val="0044013E"/>
    <w:rsid w:val="00445BC7"/>
    <w:rsid w:val="00476029"/>
    <w:rsid w:val="00484B4B"/>
    <w:rsid w:val="004B2E2A"/>
    <w:rsid w:val="004D071F"/>
    <w:rsid w:val="004F482E"/>
    <w:rsid w:val="00576004"/>
    <w:rsid w:val="005A2BB3"/>
    <w:rsid w:val="005B6FC1"/>
    <w:rsid w:val="005C6423"/>
    <w:rsid w:val="005D6B3D"/>
    <w:rsid w:val="005E5349"/>
    <w:rsid w:val="005E69F0"/>
    <w:rsid w:val="0062275D"/>
    <w:rsid w:val="006305CF"/>
    <w:rsid w:val="006533A9"/>
    <w:rsid w:val="00683362"/>
    <w:rsid w:val="006A26FA"/>
    <w:rsid w:val="006B7956"/>
    <w:rsid w:val="006D1B3B"/>
    <w:rsid w:val="006E203A"/>
    <w:rsid w:val="00700CF5"/>
    <w:rsid w:val="007405BA"/>
    <w:rsid w:val="00752639"/>
    <w:rsid w:val="00770D11"/>
    <w:rsid w:val="00785025"/>
    <w:rsid w:val="007B3863"/>
    <w:rsid w:val="007C1CBD"/>
    <w:rsid w:val="007C3C9B"/>
    <w:rsid w:val="007C63D1"/>
    <w:rsid w:val="007E1B40"/>
    <w:rsid w:val="007E3822"/>
    <w:rsid w:val="0080596A"/>
    <w:rsid w:val="008719F9"/>
    <w:rsid w:val="008949ED"/>
    <w:rsid w:val="008C34D0"/>
    <w:rsid w:val="008E02B1"/>
    <w:rsid w:val="008E0D71"/>
    <w:rsid w:val="00930FC4"/>
    <w:rsid w:val="0095201D"/>
    <w:rsid w:val="00971D96"/>
    <w:rsid w:val="009947C1"/>
    <w:rsid w:val="0099740E"/>
    <w:rsid w:val="009B2CAB"/>
    <w:rsid w:val="009D47C8"/>
    <w:rsid w:val="00A1103A"/>
    <w:rsid w:val="00A11B0C"/>
    <w:rsid w:val="00A13746"/>
    <w:rsid w:val="00A1777A"/>
    <w:rsid w:val="00A2755A"/>
    <w:rsid w:val="00A34A7E"/>
    <w:rsid w:val="00A62CD5"/>
    <w:rsid w:val="00A64113"/>
    <w:rsid w:val="00A84E03"/>
    <w:rsid w:val="00A91698"/>
    <w:rsid w:val="00AA151B"/>
    <w:rsid w:val="00AB2967"/>
    <w:rsid w:val="00AD2151"/>
    <w:rsid w:val="00AD664F"/>
    <w:rsid w:val="00AE62AE"/>
    <w:rsid w:val="00AE6958"/>
    <w:rsid w:val="00B3003A"/>
    <w:rsid w:val="00B35D69"/>
    <w:rsid w:val="00B35FF8"/>
    <w:rsid w:val="00B434DA"/>
    <w:rsid w:val="00B53D00"/>
    <w:rsid w:val="00B60C84"/>
    <w:rsid w:val="00C050FF"/>
    <w:rsid w:val="00C17C63"/>
    <w:rsid w:val="00C366CC"/>
    <w:rsid w:val="00C47130"/>
    <w:rsid w:val="00C5641D"/>
    <w:rsid w:val="00C62421"/>
    <w:rsid w:val="00C87EEB"/>
    <w:rsid w:val="00C9426A"/>
    <w:rsid w:val="00CA42BB"/>
    <w:rsid w:val="00CB41C9"/>
    <w:rsid w:val="00CE1FE7"/>
    <w:rsid w:val="00CF44A4"/>
    <w:rsid w:val="00D0516E"/>
    <w:rsid w:val="00D16D4C"/>
    <w:rsid w:val="00D3171A"/>
    <w:rsid w:val="00D44CDD"/>
    <w:rsid w:val="00D7258B"/>
    <w:rsid w:val="00D8725D"/>
    <w:rsid w:val="00D967B6"/>
    <w:rsid w:val="00DC43C7"/>
    <w:rsid w:val="00DD6076"/>
    <w:rsid w:val="00DE0F0D"/>
    <w:rsid w:val="00DF0808"/>
    <w:rsid w:val="00DF3438"/>
    <w:rsid w:val="00E139B8"/>
    <w:rsid w:val="00E224BE"/>
    <w:rsid w:val="00E35541"/>
    <w:rsid w:val="00E42CE9"/>
    <w:rsid w:val="00E744D4"/>
    <w:rsid w:val="00E77CCB"/>
    <w:rsid w:val="00E97118"/>
    <w:rsid w:val="00EA526A"/>
    <w:rsid w:val="00EA5EDB"/>
    <w:rsid w:val="00EB0974"/>
    <w:rsid w:val="00EC0F2F"/>
    <w:rsid w:val="00EE0400"/>
    <w:rsid w:val="00EF214C"/>
    <w:rsid w:val="00EF3136"/>
    <w:rsid w:val="00F54557"/>
    <w:rsid w:val="00F54EE0"/>
    <w:rsid w:val="00F608A5"/>
    <w:rsid w:val="00FA1ACF"/>
    <w:rsid w:val="00FA4033"/>
    <w:rsid w:val="00FB7D8C"/>
    <w:rsid w:val="00FC50DB"/>
    <w:rsid w:val="00FC5F22"/>
    <w:rsid w:val="00FC6B7B"/>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B2E39"/>
  <w15:chartTrackingRefBased/>
  <w15:docId w15:val="{BBE5E2CD-BE35-4930-91AC-525E0A20B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6CF"/>
  </w:style>
  <w:style w:type="paragraph" w:styleId="Heading1">
    <w:name w:val="heading 1"/>
    <w:basedOn w:val="Normal"/>
    <w:next w:val="Normal"/>
    <w:link w:val="Heading1Char"/>
    <w:uiPriority w:val="9"/>
    <w:qFormat/>
    <w:rsid w:val="00700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CF5"/>
    <w:rPr>
      <w:rFonts w:eastAsiaTheme="majorEastAsia" w:cstheme="majorBidi"/>
      <w:color w:val="272727" w:themeColor="text1" w:themeTint="D8"/>
    </w:rPr>
  </w:style>
  <w:style w:type="paragraph" w:styleId="Title">
    <w:name w:val="Title"/>
    <w:basedOn w:val="Normal"/>
    <w:next w:val="Normal"/>
    <w:link w:val="TitleChar"/>
    <w:uiPriority w:val="10"/>
    <w:qFormat/>
    <w:rsid w:val="00700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CF5"/>
    <w:pPr>
      <w:spacing w:before="160"/>
      <w:jc w:val="center"/>
    </w:pPr>
    <w:rPr>
      <w:i/>
      <w:iCs/>
      <w:color w:val="404040" w:themeColor="text1" w:themeTint="BF"/>
    </w:rPr>
  </w:style>
  <w:style w:type="character" w:customStyle="1" w:styleId="QuoteChar">
    <w:name w:val="Quote Char"/>
    <w:basedOn w:val="DefaultParagraphFont"/>
    <w:link w:val="Quote"/>
    <w:uiPriority w:val="29"/>
    <w:rsid w:val="00700CF5"/>
    <w:rPr>
      <w:i/>
      <w:iCs/>
      <w:color w:val="404040" w:themeColor="text1" w:themeTint="BF"/>
    </w:rPr>
  </w:style>
  <w:style w:type="paragraph" w:styleId="ListParagraph">
    <w:name w:val="List Paragraph"/>
    <w:basedOn w:val="Normal"/>
    <w:uiPriority w:val="34"/>
    <w:qFormat/>
    <w:rsid w:val="00700CF5"/>
    <w:pPr>
      <w:ind w:left="720"/>
      <w:contextualSpacing/>
    </w:pPr>
  </w:style>
  <w:style w:type="character" w:styleId="IntenseEmphasis">
    <w:name w:val="Intense Emphasis"/>
    <w:basedOn w:val="DefaultParagraphFont"/>
    <w:uiPriority w:val="21"/>
    <w:qFormat/>
    <w:rsid w:val="00700CF5"/>
    <w:rPr>
      <w:i/>
      <w:iCs/>
      <w:color w:val="0F4761" w:themeColor="accent1" w:themeShade="BF"/>
    </w:rPr>
  </w:style>
  <w:style w:type="paragraph" w:styleId="IntenseQuote">
    <w:name w:val="Intense Quote"/>
    <w:basedOn w:val="Normal"/>
    <w:next w:val="Normal"/>
    <w:link w:val="IntenseQuoteChar"/>
    <w:uiPriority w:val="30"/>
    <w:qFormat/>
    <w:rsid w:val="00700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CF5"/>
    <w:rPr>
      <w:i/>
      <w:iCs/>
      <w:color w:val="0F4761" w:themeColor="accent1" w:themeShade="BF"/>
    </w:rPr>
  </w:style>
  <w:style w:type="character" w:styleId="IntenseReference">
    <w:name w:val="Intense Reference"/>
    <w:basedOn w:val="DefaultParagraphFont"/>
    <w:uiPriority w:val="32"/>
    <w:qFormat/>
    <w:rsid w:val="00700CF5"/>
    <w:rPr>
      <w:b/>
      <w:bCs/>
      <w:smallCaps/>
      <w:color w:val="0F4761" w:themeColor="accent1" w:themeShade="BF"/>
      <w:spacing w:val="5"/>
    </w:rPr>
  </w:style>
  <w:style w:type="paragraph" w:styleId="Header">
    <w:name w:val="header"/>
    <w:basedOn w:val="Normal"/>
    <w:link w:val="HeaderChar"/>
    <w:uiPriority w:val="99"/>
    <w:unhideWhenUsed/>
    <w:rsid w:val="00700C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CF5"/>
  </w:style>
  <w:style w:type="paragraph" w:styleId="Footer">
    <w:name w:val="footer"/>
    <w:basedOn w:val="Normal"/>
    <w:link w:val="FooterChar"/>
    <w:uiPriority w:val="99"/>
    <w:unhideWhenUsed/>
    <w:rsid w:val="00700C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CF5"/>
  </w:style>
  <w:style w:type="table" w:styleId="TableGrid">
    <w:name w:val="Table Grid"/>
    <w:basedOn w:val="TableNormal"/>
    <w:uiPriority w:val="39"/>
    <w:rsid w:val="00700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6B1"/>
    <w:rPr>
      <w:color w:val="467886" w:themeColor="hyperlink"/>
      <w:u w:val="single"/>
    </w:rPr>
  </w:style>
  <w:style w:type="character" w:styleId="UnresolvedMention">
    <w:name w:val="Unresolved Mention"/>
    <w:basedOn w:val="DefaultParagraphFont"/>
    <w:uiPriority w:val="99"/>
    <w:semiHidden/>
    <w:unhideWhenUsed/>
    <w:rsid w:val="001D0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centerforpayment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C2D63-453C-4258-9244-9FA8BFFF9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Pages>
  <Words>2017</Words>
  <Characters>11867</Characters>
  <Application>Microsoft Office Word</Application>
  <DocSecurity>0</DocSecurity>
  <Lines>394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Witchey</dc:creator>
  <cp:keywords/>
  <dc:description/>
  <cp:lastModifiedBy>Brandon Perez</cp:lastModifiedBy>
  <cp:revision>148</cp:revision>
  <dcterms:created xsi:type="dcterms:W3CDTF">2025-06-03T02:34:00Z</dcterms:created>
  <dcterms:modified xsi:type="dcterms:W3CDTF">2025-10-23T14:52:00Z</dcterms:modified>
</cp:coreProperties>
</file>